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8F35" w14:textId="77777777" w:rsidR="00E36AAE" w:rsidRDefault="00E36AAE" w:rsidP="00E36AAE">
      <w:r>
        <w:t xml:space="preserve">Conflicts </w:t>
      </w:r>
      <w:proofErr w:type="spellStart"/>
      <w:r>
        <w:t>Lect</w:t>
      </w:r>
      <w:proofErr w:type="spellEnd"/>
      <w:r>
        <w:t xml:space="preserve"> 11</w:t>
      </w:r>
    </w:p>
    <w:p w14:paraId="146985FA" w14:textId="77777777" w:rsidR="00E36AAE" w:rsidRDefault="00E36AAE" w:rsidP="00E36AAE"/>
    <w:p w14:paraId="008E08EB" w14:textId="77777777" w:rsidR="00E36AAE" w:rsidRDefault="00E36AAE" w:rsidP="00E36AAE"/>
    <w:p w14:paraId="728315F3" w14:textId="77777777" w:rsidR="00E36AAE" w:rsidRDefault="00E36AAE" w:rsidP="00E36AAE"/>
    <w:p w14:paraId="29EE1167" w14:textId="77777777" w:rsidR="00E36AAE" w:rsidRDefault="00E36AAE" w:rsidP="00E36AAE">
      <w:r>
        <w:t>Interest analysis</w:t>
      </w:r>
    </w:p>
    <w:p w14:paraId="2D1E554A" w14:textId="77777777" w:rsidR="00E36AAE" w:rsidRDefault="00E36AAE" w:rsidP="00E36AAE">
      <w:r>
        <w:t>Finally – heart of course</w:t>
      </w:r>
    </w:p>
    <w:p w14:paraId="071ECEB4" w14:textId="3684CADC" w:rsidR="009B0DAF" w:rsidRDefault="009B0DAF" w:rsidP="001C01D1"/>
    <w:p w14:paraId="3F3BEE57" w14:textId="77777777" w:rsidR="007645F6" w:rsidRDefault="007645F6" w:rsidP="007645F6">
      <w:r>
        <w:t>Ct draws distinction between conduct regulating and loss allocating rules</w:t>
      </w:r>
    </w:p>
    <w:p w14:paraId="79335FA9" w14:textId="77777777" w:rsidR="007645F6" w:rsidRDefault="007645F6" w:rsidP="007645F6">
      <w:r>
        <w:t>Very important distinction in interest analysis</w:t>
      </w:r>
    </w:p>
    <w:p w14:paraId="42E9D15A" w14:textId="77777777" w:rsidR="007645F6" w:rsidRDefault="007645F6" w:rsidP="007645F6">
      <w:pPr>
        <w:pStyle w:val="ListParagraph"/>
        <w:numPr>
          <w:ilvl w:val="0"/>
          <w:numId w:val="15"/>
        </w:numPr>
      </w:pPr>
      <w:r>
        <w:t>Used in NY’s Neumeier rules</w:t>
      </w:r>
    </w:p>
    <w:p w14:paraId="1F114662" w14:textId="77777777" w:rsidR="007645F6" w:rsidRDefault="007645F6" w:rsidP="007645F6">
      <w:pPr>
        <w:pStyle w:val="ListParagraph"/>
        <w:numPr>
          <w:ilvl w:val="0"/>
          <w:numId w:val="15"/>
        </w:numPr>
      </w:pPr>
      <w:r>
        <w:t>Used in La and Ore choice of law statute</w:t>
      </w:r>
    </w:p>
    <w:p w14:paraId="74C5EB86" w14:textId="77777777" w:rsidR="007645F6" w:rsidRDefault="007645F6" w:rsidP="007645F6">
      <w:pPr>
        <w:pStyle w:val="ListParagraph"/>
        <w:numPr>
          <w:ilvl w:val="0"/>
          <w:numId w:val="15"/>
        </w:numPr>
      </w:pPr>
      <w:r>
        <w:t>But also important in normal interest analysis</w:t>
      </w:r>
    </w:p>
    <w:p w14:paraId="67E97049" w14:textId="77777777" w:rsidR="007645F6" w:rsidRDefault="007645F6" w:rsidP="007645F6"/>
    <w:p w14:paraId="01857D0F" w14:textId="77777777" w:rsidR="007645F6" w:rsidRDefault="007645F6" w:rsidP="007645F6">
      <w:r>
        <w:t>I am going to approach the distinction very carefully</w:t>
      </w:r>
    </w:p>
    <w:p w14:paraId="791B686F" w14:textId="77777777" w:rsidR="007645F6" w:rsidRDefault="007645F6" w:rsidP="007645F6"/>
    <w:p w14:paraId="2B826F2D" w14:textId="77777777" w:rsidR="007645F6" w:rsidRDefault="007645F6" w:rsidP="007645F6">
      <w:r>
        <w:t>The distinction is used for tort rules only</w:t>
      </w:r>
    </w:p>
    <w:p w14:paraId="45EFD24F" w14:textId="77777777" w:rsidR="007645F6" w:rsidRDefault="007645F6" w:rsidP="007645F6"/>
    <w:p w14:paraId="1C640D0C" w14:textId="77777777" w:rsidR="007645F6" w:rsidRDefault="007645F6" w:rsidP="007645F6">
      <w:r>
        <w:t>A tort rule either creates liability for harm that results from some conduct or it limits or blocks liability</w:t>
      </w:r>
    </w:p>
    <w:p w14:paraId="455551DC" w14:textId="77777777" w:rsidR="007645F6" w:rsidRDefault="007645F6" w:rsidP="007645F6"/>
    <w:p w14:paraId="75325037" w14:textId="77777777" w:rsidR="007645F6" w:rsidRDefault="007645F6" w:rsidP="007645F6">
      <w:r>
        <w:t>If a conduct regulating rule and</w:t>
      </w:r>
    </w:p>
    <w:p w14:paraId="263C5261" w14:textId="77777777" w:rsidR="007645F6" w:rsidRDefault="007645F6" w:rsidP="007645F6"/>
    <w:p w14:paraId="73312B93" w14:textId="77777777" w:rsidR="007645F6" w:rsidRDefault="007645F6" w:rsidP="007645F6">
      <w:r>
        <w:t>c</w:t>
      </w:r>
      <w:r w:rsidRPr="00EE558A">
        <w:t xml:space="preserve">reates liability </w:t>
      </w:r>
      <w:r>
        <w:t>that</w:t>
      </w:r>
      <w:r>
        <w:rPr>
          <w:cs/>
          <w:lang w:bidi="mr-IN"/>
        </w:rPr>
        <w:t xml:space="preserve"> means it has liability as a means of discouraging the conduct that caused the harm</w:t>
      </w:r>
      <w:r>
        <w:br/>
        <w:t>example – negligence liability (in its deterrence function)</w:t>
      </w:r>
      <w:r w:rsidRPr="00EE558A">
        <w:br/>
      </w:r>
      <w:r w:rsidRPr="00EE558A">
        <w:br/>
      </w:r>
      <w:r>
        <w:t>If a conduct regulating rule and</w:t>
      </w:r>
    </w:p>
    <w:p w14:paraId="4061AC86" w14:textId="77777777" w:rsidR="007645F6" w:rsidRDefault="007645F6" w:rsidP="007645F6"/>
    <w:p w14:paraId="7E246FE9" w14:textId="77777777" w:rsidR="007645F6" w:rsidRDefault="007645F6" w:rsidP="007645F6">
      <w:r>
        <w:t>b</w:t>
      </w:r>
      <w:r w:rsidRPr="00EE558A">
        <w:t xml:space="preserve">locks liability </w:t>
      </w:r>
      <w:r>
        <w:t>that</w:t>
      </w:r>
      <w:r>
        <w:rPr>
          <w:cs/>
          <w:lang w:bidi="mr-IN"/>
        </w:rPr>
        <w:t xml:space="preserve"> means it forbids </w:t>
      </w:r>
      <w:r>
        <w:rPr>
          <w:lang w:bidi="mr-IN"/>
        </w:rPr>
        <w:t>liability</w:t>
      </w:r>
      <w:r>
        <w:rPr>
          <w:cs/>
          <w:lang w:bidi="mr-IN"/>
        </w:rPr>
        <w:t xml:space="preserve"> as a means of permitting</w:t>
      </w:r>
      <w:r>
        <w:rPr>
          <w:lang w:bidi="mr-IN"/>
        </w:rPr>
        <w:t xml:space="preserve"> people to engage freely in the harm-causing conduct</w:t>
      </w:r>
      <w:r w:rsidRPr="00EE558A">
        <w:br/>
      </w:r>
      <w:r>
        <w:t>example – no liability for looking at me funny even if it hurts my feelings</w:t>
      </w:r>
    </w:p>
    <w:p w14:paraId="56E638AD" w14:textId="77777777" w:rsidR="007645F6" w:rsidRDefault="007645F6" w:rsidP="007645F6"/>
    <w:p w14:paraId="59192893" w14:textId="77777777" w:rsidR="007645F6" w:rsidRDefault="007645F6" w:rsidP="007645F6">
      <w:r>
        <w:t>The interest analyst will say that for conduct regulating rules the interested state is the state where the harm or the wrongful conduct occurred</w:t>
      </w:r>
    </w:p>
    <w:p w14:paraId="3536868A" w14:textId="77777777" w:rsidR="007645F6" w:rsidRDefault="007645F6" w:rsidP="007645F6"/>
    <w:p w14:paraId="07D42EA2" w14:textId="77777777" w:rsidR="007645F6" w:rsidRDefault="007645F6" w:rsidP="007645F6">
      <w:r>
        <w:t>Loss allocating rules</w:t>
      </w:r>
    </w:p>
    <w:p w14:paraId="720DAFCD" w14:textId="77777777" w:rsidR="007645F6" w:rsidRDefault="007645F6" w:rsidP="007645F6"/>
    <w:p w14:paraId="121E3919" w14:textId="77777777" w:rsidR="007645F6" w:rsidRDefault="007645F6" w:rsidP="007645F6">
      <w:pPr>
        <w:rPr>
          <w:lang w:bidi="mr-IN"/>
        </w:rPr>
      </w:pPr>
      <w:r w:rsidRPr="00194D91">
        <w:t xml:space="preserve">Creates liability and is </w:t>
      </w:r>
      <w:r>
        <w:t xml:space="preserve">solely </w:t>
      </w:r>
      <w:r w:rsidRPr="00194D91">
        <w:t>loss-allocating</w:t>
      </w:r>
      <w:r>
        <w:rPr>
          <w:cs/>
          <w:lang w:bidi="mr-IN"/>
        </w:rPr>
        <w:t xml:space="preserve"> means it has liability not to discourage the conduct that caused the harm – the </w:t>
      </w:r>
      <w:r>
        <w:rPr>
          <w:lang w:bidi="mr-IN"/>
        </w:rPr>
        <w:t>conduct was rightful – but it has liability for a different reason</w:t>
      </w:r>
    </w:p>
    <w:p w14:paraId="2C811DAB" w14:textId="77777777" w:rsidR="007645F6" w:rsidRDefault="007645F6" w:rsidP="007645F6">
      <w:r>
        <w:br/>
        <w:t xml:space="preserve">example – </w:t>
      </w:r>
      <w:proofErr w:type="spellStart"/>
      <w:r>
        <w:t>respondeat</w:t>
      </w:r>
      <w:proofErr w:type="spellEnd"/>
      <w:r>
        <w:t xml:space="preserve"> superior – liability of employer for torts of employee even though the employer was non-negligent in hiring and monitoring</w:t>
      </w:r>
    </w:p>
    <w:p w14:paraId="705BFBB0" w14:textId="77777777" w:rsidR="007645F6" w:rsidRDefault="007645F6" w:rsidP="007645F6">
      <w:pPr>
        <w:pStyle w:val="ListParagraph"/>
        <w:numPr>
          <w:ilvl w:val="0"/>
          <w:numId w:val="15"/>
        </w:numPr>
      </w:pPr>
      <w:r>
        <w:t>Basis is a view about where the loss should rest not a claim that the employer should have acted differently</w:t>
      </w:r>
    </w:p>
    <w:p w14:paraId="13D39596" w14:textId="77777777" w:rsidR="007645F6" w:rsidRDefault="007645F6" w:rsidP="007645F6">
      <w:r>
        <w:lastRenderedPageBreak/>
        <w:br/>
      </w:r>
      <w:r w:rsidRPr="00194D91">
        <w:t xml:space="preserve">Blocks liability and is </w:t>
      </w:r>
      <w:r>
        <w:t xml:space="preserve">solely </w:t>
      </w:r>
      <w:r w:rsidRPr="00194D91">
        <w:t>loss-allocating</w:t>
      </w:r>
      <w:r>
        <w:rPr>
          <w:cs/>
          <w:lang w:bidi="mr-IN"/>
        </w:rPr>
        <w:t xml:space="preserve"> means it </w:t>
      </w:r>
      <w:r>
        <w:rPr>
          <w:lang w:bidi="mr-IN"/>
        </w:rPr>
        <w:t>blocks</w:t>
      </w:r>
      <w:r>
        <w:rPr>
          <w:cs/>
          <w:lang w:bidi="mr-IN"/>
        </w:rPr>
        <w:t xml:space="preserve"> liability not to </w:t>
      </w:r>
      <w:r>
        <w:rPr>
          <w:lang w:bidi="mr-IN"/>
        </w:rPr>
        <w:t>give people freedom to engage in</w:t>
      </w:r>
      <w:r>
        <w:rPr>
          <w:cs/>
          <w:lang w:bidi="mr-IN"/>
        </w:rPr>
        <w:t xml:space="preserve"> the conduct that caused the harm – the </w:t>
      </w:r>
      <w:r>
        <w:rPr>
          <w:lang w:bidi="mr-IN"/>
        </w:rPr>
        <w:t>conduct was wrongful – but it blocks liability for a different reason</w:t>
      </w:r>
      <w:r w:rsidRPr="00194D91">
        <w:br/>
        <w:t>example?</w:t>
      </w:r>
    </w:p>
    <w:p w14:paraId="371E5EB4" w14:textId="77777777" w:rsidR="007645F6" w:rsidRDefault="007645F6" w:rsidP="007645F6">
      <w:r>
        <w:t>Charitable immunity barring liability against a charity for causes of action concerning negligent hiring and monitoring</w:t>
      </w:r>
    </w:p>
    <w:p w14:paraId="2323F69C" w14:textId="77777777" w:rsidR="007645F6" w:rsidRDefault="007645F6" w:rsidP="007645F6">
      <w:r>
        <w:t>Not saying charities should be free to negligently hire and monitor employees</w:t>
      </w:r>
    </w:p>
    <w:p w14:paraId="35B882A2" w14:textId="77777777" w:rsidR="007645F6" w:rsidRDefault="007645F6" w:rsidP="007645F6">
      <w:r>
        <w:t>But blocks liability for a different reason – view about appropriate compensation, for example</w:t>
      </w:r>
    </w:p>
    <w:p w14:paraId="02785107" w14:textId="77777777" w:rsidR="007645F6" w:rsidRDefault="007645F6" w:rsidP="007645F6"/>
    <w:p w14:paraId="5CC93AA7" w14:textId="77777777" w:rsidR="007645F6" w:rsidRDefault="007645F6" w:rsidP="007645F6">
      <w:r>
        <w:t>NOTE: loss allocating rules really come in two flavors</w:t>
      </w:r>
    </w:p>
    <w:p w14:paraId="2EDC12F4" w14:textId="77777777" w:rsidR="007645F6" w:rsidRDefault="007645F6" w:rsidP="007645F6">
      <w:r>
        <w:t>For some the purpose is really about loss allocation, that is, about appropriate compensation between the parties</w:t>
      </w:r>
    </w:p>
    <w:p w14:paraId="4BCFF5E7" w14:textId="77777777" w:rsidR="007645F6" w:rsidRDefault="007645F6" w:rsidP="007645F6">
      <w:r>
        <w:t>Then usually the interest analyst will claim that the domicile of a party is relevant</w:t>
      </w:r>
    </w:p>
    <w:p w14:paraId="041981E7" w14:textId="77777777" w:rsidR="007645F6" w:rsidRDefault="007645F6" w:rsidP="007645F6">
      <w:pPr>
        <w:pStyle w:val="ListParagraph"/>
        <w:numPr>
          <w:ilvl w:val="0"/>
          <w:numId w:val="15"/>
        </w:numPr>
      </w:pPr>
      <w:r>
        <w:t>Domicile of the plaintiff if it is a loss allocating rule that creates liability</w:t>
      </w:r>
    </w:p>
    <w:p w14:paraId="61992C5E" w14:textId="77777777" w:rsidR="007645F6" w:rsidRDefault="007645F6" w:rsidP="007645F6">
      <w:pPr>
        <w:pStyle w:val="ListParagraph"/>
        <w:numPr>
          <w:ilvl w:val="0"/>
          <w:numId w:val="15"/>
        </w:numPr>
      </w:pPr>
      <w:r>
        <w:t>Domicile of the defendant if it is a loss allocating rule that blocks liability</w:t>
      </w:r>
    </w:p>
    <w:p w14:paraId="4C480DDB" w14:textId="77777777" w:rsidR="007645F6" w:rsidRDefault="007645F6" w:rsidP="007645F6">
      <w:pPr>
        <w:pStyle w:val="ListParagraph"/>
        <w:numPr>
          <w:ilvl w:val="0"/>
          <w:numId w:val="15"/>
        </w:numPr>
      </w:pPr>
      <w:r>
        <w:t>But it helps when P and D are both from the state with the loss-allocating rule</w:t>
      </w:r>
    </w:p>
    <w:p w14:paraId="03486021" w14:textId="77777777" w:rsidR="007645F6" w:rsidRDefault="007645F6" w:rsidP="007645F6"/>
    <w:p w14:paraId="0A9C961A" w14:textId="77777777" w:rsidR="007645F6" w:rsidRDefault="007645F6" w:rsidP="007645F6">
      <w:r>
        <w:t>But some “loss-allocating” rules are about encouraging or discouraging a certain type of conduct</w:t>
      </w:r>
    </w:p>
    <w:p w14:paraId="34371B32" w14:textId="77777777" w:rsidR="007645F6" w:rsidRDefault="007645F6" w:rsidP="007645F6">
      <w:pPr>
        <w:pStyle w:val="ListParagraph"/>
        <w:numPr>
          <w:ilvl w:val="0"/>
          <w:numId w:val="15"/>
        </w:numPr>
      </w:pPr>
      <w:proofErr w:type="spellStart"/>
      <w:r>
        <w:t>Eg</w:t>
      </w:r>
      <w:proofErr w:type="spellEnd"/>
      <w:r>
        <w:t xml:space="preserve"> charitable immunity might be about encouraging charitable activities</w:t>
      </w:r>
    </w:p>
    <w:p w14:paraId="411B1D07" w14:textId="77777777" w:rsidR="007645F6" w:rsidRDefault="007645F6" w:rsidP="007645F6">
      <w:pPr>
        <w:pStyle w:val="ListParagraph"/>
        <w:numPr>
          <w:ilvl w:val="0"/>
          <w:numId w:val="15"/>
        </w:numPr>
      </w:pPr>
      <w:r>
        <w:t>Then domicile might not be relevant for the interest analyst but something else – where the relevant conduct at issue occurred or should occur</w:t>
      </w:r>
    </w:p>
    <w:p w14:paraId="48357843" w14:textId="77777777" w:rsidR="007645F6" w:rsidRDefault="007645F6" w:rsidP="007645F6">
      <w:pPr>
        <w:pStyle w:val="ListParagraph"/>
        <w:numPr>
          <w:ilvl w:val="0"/>
          <w:numId w:val="15"/>
        </w:numPr>
      </w:pPr>
      <w:r>
        <w:t>But it is still different from normal conduct regulating rules because the conduct at issue is not the conduct that caused the plaintiff’s harem</w:t>
      </w:r>
    </w:p>
    <w:p w14:paraId="465374E9" w14:textId="77777777" w:rsidR="007645F6" w:rsidRDefault="007645F6" w:rsidP="007645F6">
      <w:pPr>
        <w:pStyle w:val="ListParagraph"/>
        <w:numPr>
          <w:ilvl w:val="0"/>
          <w:numId w:val="15"/>
        </w:numPr>
      </w:pPr>
      <w:r>
        <w:t>So the state of the harm or of the conduct that caused the harm will not necessarily be interested in its loss-allocating rule applying</w:t>
      </w:r>
    </w:p>
    <w:p w14:paraId="0AB8EEEE" w14:textId="77777777" w:rsidR="007645F6" w:rsidRDefault="007645F6" w:rsidP="007645F6"/>
    <w:p w14:paraId="73B2E398" w14:textId="77777777" w:rsidR="007645F6" w:rsidRDefault="007645F6" w:rsidP="007645F6">
      <w:r>
        <w:t xml:space="preserve">NOTE: some laws are both conduct regulating and loss allocating, </w:t>
      </w:r>
      <w:proofErr w:type="spellStart"/>
      <w:r>
        <w:t>eg</w:t>
      </w:r>
      <w:proofErr w:type="spellEnd"/>
      <w:r>
        <w:t xml:space="preserve"> negligence liability</w:t>
      </w:r>
    </w:p>
    <w:p w14:paraId="30D234D5" w14:textId="77777777" w:rsidR="007645F6" w:rsidRDefault="007645F6" w:rsidP="007645F6"/>
    <w:p w14:paraId="0B41978A" w14:textId="77777777" w:rsidR="007645F6" w:rsidRDefault="007645F6" w:rsidP="007645F6">
      <w:r w:rsidRPr="000A38ED">
        <w:t>Assume that a jurisdiction does not have a cause of action for tort</w:t>
      </w:r>
      <w:r>
        <w:t>ious interference of contract</w:t>
      </w:r>
      <w:r>
        <w:br/>
        <w:t>that too is both conduct-regulating and loss-allocating</w:t>
      </w:r>
    </w:p>
    <w:p w14:paraId="6E5F3989" w14:textId="77777777" w:rsidR="007645F6" w:rsidRDefault="007645F6" w:rsidP="007645F6">
      <w:r>
        <w:t>Compensation is inappropriate and people should be free to engage in the harm-causing conduct</w:t>
      </w:r>
    </w:p>
    <w:p w14:paraId="562F23A5" w14:textId="77777777" w:rsidR="007645F6" w:rsidRDefault="007645F6" w:rsidP="007645F6"/>
    <w:p w14:paraId="697759EA" w14:textId="77777777" w:rsidR="007645F6" w:rsidRDefault="007645F6" w:rsidP="007645F6">
      <w:r w:rsidRPr="00FA1B07">
        <w:rPr>
          <w:b/>
          <w:bCs/>
          <w:i/>
          <w:iCs/>
        </w:rPr>
        <w:t>Abogados v. AT&amp;T (9</w:t>
      </w:r>
      <w:r w:rsidRPr="00FA1B07">
        <w:rPr>
          <w:b/>
          <w:bCs/>
          <w:i/>
          <w:iCs/>
          <w:vertAlign w:val="superscript"/>
        </w:rPr>
        <w:t>th</w:t>
      </w:r>
      <w:r w:rsidRPr="00FA1B07">
        <w:rPr>
          <w:b/>
          <w:bCs/>
          <w:i/>
          <w:iCs/>
        </w:rPr>
        <w:t xml:space="preserve"> Cir. 2000)</w:t>
      </w:r>
      <w:r w:rsidRPr="00FA1B07">
        <w:rPr>
          <w:b/>
          <w:bCs/>
          <w:i/>
          <w:iCs/>
        </w:rPr>
        <w:br/>
      </w:r>
      <w:r>
        <w:t xml:space="preserve">in Jalisco (a Mexican state), a NY </w:t>
      </w:r>
      <w:proofErr w:type="spellStart"/>
      <w:r>
        <w:t>corp</w:t>
      </w:r>
      <w:proofErr w:type="spellEnd"/>
      <w:r>
        <w:t xml:space="preserve"> interferes in contract of Mexican co. </w:t>
      </w:r>
      <w:r w:rsidRPr="00FA1B07">
        <w:br/>
        <w:t xml:space="preserve">Mexican co. </w:t>
      </w:r>
      <w:r>
        <w:t xml:space="preserve">in federal court in Cal. </w:t>
      </w:r>
      <w:r w:rsidRPr="00FA1B07">
        <w:t>sues under NY law, which has a cause of action for tortious interference of cont</w:t>
      </w:r>
      <w:r>
        <w:t>r</w:t>
      </w:r>
      <w:r w:rsidRPr="00FA1B07">
        <w:t>act</w:t>
      </w:r>
      <w:r w:rsidRPr="00FA1B07">
        <w:br/>
      </w:r>
      <w:proofErr w:type="spellStart"/>
      <w:r w:rsidRPr="00FA1B07">
        <w:t>Jaliscan</w:t>
      </w:r>
      <w:proofErr w:type="spellEnd"/>
      <w:r w:rsidRPr="00FA1B07">
        <w:t xml:space="preserve"> law does not</w:t>
      </w:r>
    </w:p>
    <w:p w14:paraId="22C15235" w14:textId="77777777" w:rsidR="007645F6" w:rsidRDefault="007645F6" w:rsidP="007645F6"/>
    <w:p w14:paraId="6D7B79D1" w14:textId="77777777" w:rsidR="007645F6" w:rsidRDefault="007645F6" w:rsidP="007645F6">
      <w:r>
        <w:t>Court gets it right</w:t>
      </w:r>
    </w:p>
    <w:p w14:paraId="34FD3A77" w14:textId="77777777" w:rsidR="007645F6" w:rsidRDefault="007645F6" w:rsidP="007645F6">
      <w:pPr>
        <w:pStyle w:val="ListParagraph"/>
        <w:numPr>
          <w:ilvl w:val="0"/>
          <w:numId w:val="15"/>
        </w:numPr>
      </w:pPr>
      <w:r>
        <w:t>Is NY interested in its tortious interference of contract law applying</w:t>
      </w:r>
    </w:p>
    <w:p w14:paraId="71B8C4AA" w14:textId="77777777" w:rsidR="007645F6" w:rsidRDefault="007645F6" w:rsidP="007645F6">
      <w:pPr>
        <w:pStyle w:val="ListParagraph"/>
        <w:numPr>
          <w:ilvl w:val="0"/>
          <w:numId w:val="15"/>
        </w:numPr>
      </w:pPr>
      <w:r>
        <w:t xml:space="preserve">No – </w:t>
      </w:r>
    </w:p>
    <w:p w14:paraId="585D9B01" w14:textId="77777777" w:rsidR="007645F6" w:rsidRDefault="007645F6" w:rsidP="007645F6">
      <w:pPr>
        <w:pStyle w:val="ListParagraph"/>
        <w:numPr>
          <w:ilvl w:val="1"/>
          <w:numId w:val="15"/>
        </w:numPr>
      </w:pPr>
      <w:r>
        <w:lastRenderedPageBreak/>
        <w:t>Not interested in law in its conduct regulating function applying because neither the harm nor the wrongful conduct occurred in NY</w:t>
      </w:r>
    </w:p>
    <w:p w14:paraId="1A1048E9" w14:textId="77777777" w:rsidR="007645F6" w:rsidRDefault="007645F6" w:rsidP="007645F6">
      <w:pPr>
        <w:pStyle w:val="ListParagraph"/>
        <w:numPr>
          <w:ilvl w:val="1"/>
          <w:numId w:val="15"/>
        </w:numPr>
      </w:pPr>
      <w:r>
        <w:t>Not interested in its law in its loss allocating function applying because there is no NY plaintiff to be compensated</w:t>
      </w:r>
    </w:p>
    <w:p w14:paraId="7DC9DA6C" w14:textId="77777777" w:rsidR="007645F6" w:rsidRDefault="007645F6" w:rsidP="007645F6">
      <w:pPr>
        <w:pStyle w:val="ListParagraph"/>
        <w:numPr>
          <w:ilvl w:val="0"/>
          <w:numId w:val="15"/>
        </w:numPr>
      </w:pPr>
      <w:r>
        <w:t>Is Jalisco interested in its lack of a cause of action for tortious interference of contract law applying?</w:t>
      </w:r>
    </w:p>
    <w:p w14:paraId="43CD61E3" w14:textId="77777777" w:rsidR="007645F6" w:rsidRDefault="007645F6" w:rsidP="007645F6">
      <w:pPr>
        <w:pStyle w:val="ListParagraph"/>
        <w:numPr>
          <w:ilvl w:val="1"/>
          <w:numId w:val="15"/>
        </w:numPr>
      </w:pPr>
      <w:r>
        <w:t xml:space="preserve">Not interested in its law in its loss allocating function applying because there is no </w:t>
      </w:r>
      <w:proofErr w:type="spellStart"/>
      <w:r>
        <w:t>Jaliscan</w:t>
      </w:r>
      <w:proofErr w:type="spellEnd"/>
      <w:r>
        <w:t xml:space="preserve"> D to protect from inappropriate liability </w:t>
      </w:r>
    </w:p>
    <w:p w14:paraId="393116A9" w14:textId="77777777" w:rsidR="007645F6" w:rsidRDefault="007645F6" w:rsidP="007645F6">
      <w:pPr>
        <w:pStyle w:val="ListParagraph"/>
        <w:numPr>
          <w:ilvl w:val="1"/>
          <w:numId w:val="15"/>
        </w:numPr>
      </w:pPr>
      <w:r>
        <w:t>But court recognized that Jalisco was interested in its absence of a cause of action in its conduct regulating function applying because the conduct at issue was in Jalisco</w:t>
      </w:r>
    </w:p>
    <w:p w14:paraId="2B3F1907" w14:textId="77777777" w:rsidR="007645F6" w:rsidRDefault="007645F6" w:rsidP="007645F6">
      <w:pPr>
        <w:pStyle w:val="ListParagraph"/>
        <w:numPr>
          <w:ilvl w:val="1"/>
          <w:numId w:val="15"/>
        </w:numPr>
      </w:pPr>
      <w:proofErr w:type="spellStart"/>
      <w:r>
        <w:t>Jaliscan</w:t>
      </w:r>
      <w:proofErr w:type="spellEnd"/>
      <w:r>
        <w:t xml:space="preserve"> lawmakers think that people, even non-</w:t>
      </w:r>
      <w:proofErr w:type="spellStart"/>
      <w:r>
        <w:t>Jaliscans</w:t>
      </w:r>
      <w:proofErr w:type="spellEnd"/>
      <w:r>
        <w:t>, should be free to interfere with contracts in Jalisco</w:t>
      </w:r>
    </w:p>
    <w:p w14:paraId="29B5D1BC" w14:textId="09D3A29A" w:rsidR="007645F6" w:rsidRDefault="007645F6" w:rsidP="007645F6"/>
    <w:p w14:paraId="1A350B50" w14:textId="77777777" w:rsidR="00E13C56" w:rsidRDefault="00E13C56" w:rsidP="00E13C56">
      <w:pPr>
        <w:numPr>
          <w:ilvl w:val="0"/>
          <w:numId w:val="4"/>
        </w:numPr>
      </w:pPr>
      <w:r>
        <w:t>Schultz v Boy Scouts</w:t>
      </w:r>
    </w:p>
    <w:p w14:paraId="7FFFAEC4" w14:textId="77777777" w:rsidR="00E13C56" w:rsidRDefault="00E13C56" w:rsidP="00E13C56">
      <w:pPr>
        <w:numPr>
          <w:ilvl w:val="1"/>
          <w:numId w:val="4"/>
        </w:numPr>
      </w:pPr>
      <w:r>
        <w:t xml:space="preserve">Ps domiciled in NJ </w:t>
      </w:r>
    </w:p>
    <w:p w14:paraId="0EE09C22" w14:textId="77777777" w:rsidR="00E13C56" w:rsidRDefault="00E13C56" w:rsidP="00E13C56">
      <w:pPr>
        <w:numPr>
          <w:ilvl w:val="2"/>
          <w:numId w:val="4"/>
        </w:numPr>
      </w:pPr>
      <w:r>
        <w:t>(parent) and two boys (one who committed suicide)</w:t>
      </w:r>
    </w:p>
    <w:p w14:paraId="59D284DD" w14:textId="77777777" w:rsidR="00E13C56" w:rsidRDefault="00E13C56" w:rsidP="00E13C56">
      <w:pPr>
        <w:numPr>
          <w:ilvl w:val="2"/>
          <w:numId w:val="4"/>
        </w:numPr>
      </w:pPr>
      <w:r>
        <w:t>Molested by Franciscan brother who was also scoutmaster</w:t>
      </w:r>
    </w:p>
    <w:p w14:paraId="7C3FFB2E" w14:textId="77777777" w:rsidR="00E13C56" w:rsidRDefault="00E13C56" w:rsidP="00E13C56">
      <w:pPr>
        <w:numPr>
          <w:ilvl w:val="1"/>
          <w:numId w:val="4"/>
        </w:numPr>
      </w:pPr>
      <w:r>
        <w:t>Suing Ds in NY</w:t>
      </w:r>
    </w:p>
    <w:p w14:paraId="3D941F4E" w14:textId="77777777" w:rsidR="00E13C56" w:rsidRDefault="00E13C56" w:rsidP="00E13C56">
      <w:pPr>
        <w:numPr>
          <w:ilvl w:val="2"/>
          <w:numId w:val="4"/>
        </w:numPr>
      </w:pPr>
      <w:r>
        <w:t>Boy Scouts</w:t>
      </w:r>
    </w:p>
    <w:p w14:paraId="7681B618" w14:textId="77777777" w:rsidR="00E13C56" w:rsidRDefault="00E13C56" w:rsidP="00E13C56">
      <w:pPr>
        <w:numPr>
          <w:ilvl w:val="3"/>
          <w:numId w:val="4"/>
        </w:numPr>
      </w:pPr>
      <w:r>
        <w:t>NJ domicile at time</w:t>
      </w:r>
    </w:p>
    <w:p w14:paraId="6933B0DA" w14:textId="77777777" w:rsidR="00E13C56" w:rsidRDefault="00E13C56" w:rsidP="00E13C56">
      <w:pPr>
        <w:numPr>
          <w:ilvl w:val="3"/>
          <w:numId w:val="4"/>
        </w:numPr>
      </w:pPr>
      <w:r>
        <w:t>now Texas</w:t>
      </w:r>
    </w:p>
    <w:p w14:paraId="7F147807" w14:textId="77777777" w:rsidR="00E13C56" w:rsidRDefault="00E13C56" w:rsidP="00E13C56">
      <w:pPr>
        <w:numPr>
          <w:ilvl w:val="2"/>
          <w:numId w:val="4"/>
        </w:numPr>
      </w:pPr>
      <w:r>
        <w:t>and Franciscans</w:t>
      </w:r>
    </w:p>
    <w:p w14:paraId="4F4DA6C5" w14:textId="77777777" w:rsidR="00E13C56" w:rsidRDefault="00E13C56" w:rsidP="00E13C56">
      <w:pPr>
        <w:numPr>
          <w:ilvl w:val="3"/>
          <w:numId w:val="4"/>
        </w:numPr>
      </w:pPr>
      <w:r>
        <w:t>Ohio domicile</w:t>
      </w:r>
    </w:p>
    <w:p w14:paraId="7103A1B7" w14:textId="77777777" w:rsidR="00E13C56" w:rsidRDefault="00E13C56" w:rsidP="00E13C56">
      <w:pPr>
        <w:numPr>
          <w:ilvl w:val="2"/>
          <w:numId w:val="4"/>
        </w:numPr>
      </w:pPr>
      <w:r>
        <w:t>Molestation in NY</w:t>
      </w:r>
    </w:p>
    <w:p w14:paraId="335FD4A1" w14:textId="77777777" w:rsidR="00E13C56" w:rsidRDefault="00E13C56" w:rsidP="00E13C56">
      <w:pPr>
        <w:numPr>
          <w:ilvl w:val="2"/>
          <w:numId w:val="4"/>
        </w:numPr>
      </w:pPr>
      <w:r>
        <w:t>And afterward in NJ</w:t>
      </w:r>
    </w:p>
    <w:p w14:paraId="7E6CF4BC" w14:textId="77777777" w:rsidR="00E13C56" w:rsidRDefault="00E13C56" w:rsidP="00E13C56">
      <w:pPr>
        <w:numPr>
          <w:ilvl w:val="1"/>
          <w:numId w:val="4"/>
        </w:numPr>
      </w:pPr>
      <w:r>
        <w:t>NJ has charitable immunity</w:t>
      </w:r>
    </w:p>
    <w:p w14:paraId="34F5BEBE" w14:textId="77777777" w:rsidR="00E13C56" w:rsidRDefault="00E13C56" w:rsidP="00E13C56">
      <w:pPr>
        <w:numPr>
          <w:ilvl w:val="1"/>
          <w:numId w:val="4"/>
        </w:numPr>
      </w:pPr>
      <w:proofErr w:type="spellStart"/>
      <w:r>
        <w:t>Tex</w:t>
      </w:r>
      <w:proofErr w:type="spellEnd"/>
      <w:r>
        <w:t>, NY do not</w:t>
      </w:r>
    </w:p>
    <w:p w14:paraId="52A34EF9" w14:textId="71742AF1" w:rsidR="00E13C56" w:rsidRDefault="00E13C56" w:rsidP="00E13C56">
      <w:pPr>
        <w:numPr>
          <w:ilvl w:val="1"/>
          <w:numId w:val="4"/>
        </w:numPr>
      </w:pPr>
      <w:r>
        <w:t>Ohio does not in this case (</w:t>
      </w:r>
      <w:proofErr w:type="spellStart"/>
      <w:r>
        <w:t>negl</w:t>
      </w:r>
      <w:proofErr w:type="spellEnd"/>
      <w:r>
        <w:t xml:space="preserve"> hiring/supervision)</w:t>
      </w:r>
    </w:p>
    <w:p w14:paraId="5E197907" w14:textId="77777777" w:rsidR="00E13C56" w:rsidRDefault="00E13C56" w:rsidP="00E13C56">
      <w:pPr>
        <w:numPr>
          <w:ilvl w:val="1"/>
          <w:numId w:val="4"/>
        </w:numPr>
      </w:pPr>
      <w:r>
        <w:t>Does charitable immunity apply?</w:t>
      </w:r>
    </w:p>
    <w:p w14:paraId="1244E1D4" w14:textId="77777777" w:rsidR="00E13C56" w:rsidRDefault="00E13C56" w:rsidP="00E13C56">
      <w:pPr>
        <w:numPr>
          <w:ilvl w:val="1"/>
          <w:numId w:val="4"/>
        </w:numPr>
      </w:pPr>
      <w:r>
        <w:t>Start with Boy Scouts</w:t>
      </w:r>
    </w:p>
    <w:p w14:paraId="77984526" w14:textId="77777777" w:rsidR="00E13C56" w:rsidRDefault="00E13C56" w:rsidP="00E13C56">
      <w:pPr>
        <w:numPr>
          <w:ilvl w:val="1"/>
          <w:numId w:val="4"/>
        </w:numPr>
      </w:pPr>
      <w:r>
        <w:t>Ct draws distinction between conduct regulating and loss allocating rules</w:t>
      </w:r>
    </w:p>
    <w:p w14:paraId="27A1B96B" w14:textId="77777777" w:rsidR="00E13C56" w:rsidRDefault="00E13C56" w:rsidP="00E13C56">
      <w:pPr>
        <w:numPr>
          <w:ilvl w:val="2"/>
          <w:numId w:val="4"/>
        </w:numPr>
      </w:pPr>
      <w:r>
        <w:t>Conduct reg – place of wrongdoing (harm or wrongful conduct)</w:t>
      </w:r>
    </w:p>
    <w:p w14:paraId="02530608" w14:textId="77777777" w:rsidR="00E13C56" w:rsidRDefault="00E13C56" w:rsidP="00E13C56">
      <w:pPr>
        <w:numPr>
          <w:ilvl w:val="2"/>
          <w:numId w:val="4"/>
        </w:numPr>
      </w:pPr>
      <w:r>
        <w:t>Loss allocating – domicile of parties (</w:t>
      </w:r>
      <w:proofErr w:type="spellStart"/>
      <w:r>
        <w:t>esp</w:t>
      </w:r>
      <w:proofErr w:type="spellEnd"/>
      <w:r>
        <w:t xml:space="preserve"> if they have a common domicile)</w:t>
      </w:r>
    </w:p>
    <w:p w14:paraId="461B114F" w14:textId="77777777" w:rsidR="00E13C56" w:rsidRDefault="00E13C56" w:rsidP="00E13C56">
      <w:pPr>
        <w:numPr>
          <w:ilvl w:val="2"/>
          <w:numId w:val="4"/>
        </w:numPr>
      </w:pPr>
      <w:r>
        <w:t>Example of Conduct regulating?</w:t>
      </w:r>
    </w:p>
    <w:p w14:paraId="1773EA95" w14:textId="77777777" w:rsidR="00E13C56" w:rsidRDefault="00E13C56" w:rsidP="00E13C56">
      <w:pPr>
        <w:numPr>
          <w:ilvl w:val="3"/>
          <w:numId w:val="4"/>
        </w:numPr>
      </w:pPr>
      <w:r>
        <w:t>standard of care</w:t>
      </w:r>
    </w:p>
    <w:p w14:paraId="54FB094E" w14:textId="77777777" w:rsidR="00E13C56" w:rsidRDefault="00E13C56" w:rsidP="00E13C56">
      <w:pPr>
        <w:numPr>
          <w:ilvl w:val="2"/>
          <w:numId w:val="4"/>
        </w:numPr>
      </w:pPr>
      <w:r>
        <w:t xml:space="preserve">Why is charitable </w:t>
      </w:r>
      <w:proofErr w:type="spellStart"/>
      <w:r>
        <w:t>imm</w:t>
      </w:r>
      <w:proofErr w:type="spellEnd"/>
      <w:r>
        <w:t xml:space="preserve"> loss allocating?</w:t>
      </w:r>
    </w:p>
    <w:p w14:paraId="3DA0D180" w14:textId="77777777" w:rsidR="00E13C56" w:rsidRDefault="00E13C56" w:rsidP="00E13C56">
      <w:pPr>
        <w:numPr>
          <w:ilvl w:val="3"/>
          <w:numId w:val="4"/>
        </w:numPr>
      </w:pPr>
      <w:r>
        <w:t>not saying charities should get away with negligent hiring</w:t>
      </w:r>
    </w:p>
    <w:p w14:paraId="5D91DF02" w14:textId="77777777" w:rsidR="00E13C56" w:rsidRDefault="00E13C56" w:rsidP="00E13C56">
      <w:pPr>
        <w:numPr>
          <w:ilvl w:val="3"/>
          <w:numId w:val="4"/>
        </w:numPr>
      </w:pPr>
      <w:r>
        <w:t>post-event remedial rule about allocating loss</w:t>
      </w:r>
    </w:p>
    <w:p w14:paraId="402542D1" w14:textId="77777777" w:rsidR="00E13C56" w:rsidRDefault="00E13C56" w:rsidP="00E13C56">
      <w:pPr>
        <w:numPr>
          <w:ilvl w:val="3"/>
          <w:numId w:val="4"/>
        </w:numPr>
      </w:pPr>
      <w:r>
        <w:t xml:space="preserve">what is purpose of char </w:t>
      </w:r>
      <w:proofErr w:type="spellStart"/>
      <w:r>
        <w:t>imm</w:t>
      </w:r>
      <w:proofErr w:type="spellEnd"/>
      <w:r>
        <w:t>?</w:t>
      </w:r>
    </w:p>
    <w:p w14:paraId="2592A1E0" w14:textId="77777777" w:rsidR="00E13C56" w:rsidRDefault="00E13C56" w:rsidP="00E13C56">
      <w:pPr>
        <w:numPr>
          <w:ilvl w:val="4"/>
          <w:numId w:val="4"/>
        </w:numPr>
      </w:pPr>
      <w:r>
        <w:t xml:space="preserve">really about encouraging charities in </w:t>
      </w:r>
      <w:proofErr w:type="gramStart"/>
      <w:r>
        <w:t>state?</w:t>
      </w:r>
      <w:proofErr w:type="gramEnd"/>
    </w:p>
    <w:p w14:paraId="0558E7EB" w14:textId="77777777" w:rsidR="00E13C56" w:rsidRDefault="00E13C56" w:rsidP="00E13C56">
      <w:pPr>
        <w:numPr>
          <w:ilvl w:val="3"/>
          <w:numId w:val="4"/>
        </w:numPr>
      </w:pPr>
      <w:r>
        <w:t>If so, is the domicile of parties relevant?</w:t>
      </w:r>
    </w:p>
    <w:p w14:paraId="3EC5D82C" w14:textId="77777777" w:rsidR="00E13C56" w:rsidRDefault="00E13C56" w:rsidP="00E13C56">
      <w:pPr>
        <w:numPr>
          <w:ilvl w:val="5"/>
          <w:numId w:val="4"/>
        </w:numPr>
      </w:pPr>
      <w:r w:rsidRPr="00643114">
        <w:t>- assume the Schultz’s are domiciled in NY</w:t>
      </w:r>
      <w:r w:rsidRPr="00643114">
        <w:br/>
        <w:t>- the Boy Scouts are domiciled in TX</w:t>
      </w:r>
      <w:r w:rsidRPr="00643114">
        <w:br/>
      </w:r>
      <w:r w:rsidRPr="00643114">
        <w:lastRenderedPageBreak/>
        <w:t>- but the scout camp is always in NJ, where the molestation occurs</w:t>
      </w:r>
    </w:p>
    <w:p w14:paraId="4702D37F" w14:textId="77777777" w:rsidR="00E13C56" w:rsidRDefault="00E13C56" w:rsidP="00E13C56">
      <w:pPr>
        <w:numPr>
          <w:ilvl w:val="5"/>
          <w:numId w:val="4"/>
        </w:numPr>
      </w:pPr>
      <w:r>
        <w:t>No NJ interest?</w:t>
      </w:r>
    </w:p>
    <w:p w14:paraId="52787BDD" w14:textId="77777777" w:rsidR="00E13C56" w:rsidRDefault="00E13C56" w:rsidP="00E13C56">
      <w:pPr>
        <w:numPr>
          <w:ilvl w:val="5"/>
          <w:numId w:val="4"/>
        </w:numPr>
      </w:pPr>
      <w:r>
        <w:t>NJ interest still applies because charitable activities there?</w:t>
      </w:r>
    </w:p>
    <w:p w14:paraId="7334A71F" w14:textId="77777777" w:rsidR="00E13C56" w:rsidRDefault="00E13C56" w:rsidP="00E13C56">
      <w:pPr>
        <w:numPr>
          <w:ilvl w:val="4"/>
          <w:numId w:val="4"/>
        </w:numPr>
      </w:pPr>
      <w:r>
        <w:t>notice not really about domicile of parties</w:t>
      </w:r>
    </w:p>
    <w:p w14:paraId="45FC484C" w14:textId="77777777" w:rsidR="00E13C56" w:rsidRDefault="00E13C56" w:rsidP="00E13C56">
      <w:pPr>
        <w:numPr>
          <w:ilvl w:val="4"/>
          <w:numId w:val="4"/>
        </w:numPr>
      </w:pPr>
      <w:r>
        <w:t>but instead fact that tort arose out of NJ charity activities</w:t>
      </w:r>
    </w:p>
    <w:p w14:paraId="782B3EF7" w14:textId="77777777" w:rsidR="00E13C56" w:rsidRDefault="00E13C56" w:rsidP="00E13C56">
      <w:pPr>
        <w:pStyle w:val="ListParagraph"/>
      </w:pPr>
    </w:p>
    <w:p w14:paraId="2E1B73C1" w14:textId="77777777" w:rsidR="00E13C56" w:rsidRDefault="00E13C56" w:rsidP="00E13C56">
      <w:r w:rsidRPr="005960C9">
        <w:tab/>
      </w:r>
      <w:r>
        <w:t>What are reasons for NY law to apply?</w:t>
      </w:r>
    </w:p>
    <w:p w14:paraId="6E348DD9" w14:textId="77777777" w:rsidR="00E13C56" w:rsidRPr="005960C9" w:rsidRDefault="00E13C56" w:rsidP="00E13C56"/>
    <w:p w14:paraId="7132BCC2" w14:textId="77777777" w:rsidR="00E13C56" w:rsidRPr="005960C9" w:rsidRDefault="00E13C56" w:rsidP="00E13C56">
      <w:r>
        <w:t>Here, the opinion</w:t>
      </w:r>
      <w:r w:rsidRPr="005960C9">
        <w:t xml:space="preserve"> gets weird.</w:t>
      </w:r>
    </w:p>
    <w:p w14:paraId="4280534A" w14:textId="77777777" w:rsidR="00E13C56" w:rsidRPr="005960C9" w:rsidRDefault="00E13C56" w:rsidP="00E13C56">
      <w:pPr>
        <w:numPr>
          <w:ilvl w:val="0"/>
          <w:numId w:val="16"/>
        </w:numPr>
      </w:pPr>
      <w:r w:rsidRPr="005960C9">
        <w:t>“The three reasons most often urged in support of applying the law of the forum-locus in cases such as this are: (1) to protect medical creditors who provided services to injured parties in the locus State, (2) to prevent injured tort victims from becoming public wards in the locus State and (3) the deterrent effect application of locus law has on future tort-</w:t>
      </w:r>
      <w:proofErr w:type="spellStart"/>
      <w:r w:rsidRPr="005960C9">
        <w:t>feasors</w:t>
      </w:r>
      <w:proofErr w:type="spellEnd"/>
      <w:r w:rsidRPr="005960C9">
        <w:t xml:space="preserve"> in the locus State.” </w:t>
      </w:r>
    </w:p>
    <w:p w14:paraId="50081E9D" w14:textId="77777777" w:rsidR="00E13C56" w:rsidRPr="005960C9" w:rsidRDefault="00E13C56" w:rsidP="00E13C56"/>
    <w:p w14:paraId="628B59FB" w14:textId="77777777" w:rsidR="00E13C56" w:rsidRDefault="00E13C56" w:rsidP="00E13C56">
      <w:r w:rsidRPr="005960C9">
        <w:t>They c</w:t>
      </w:r>
      <w:r>
        <w:t xml:space="preserve">an’t argue for compensation, </w:t>
      </w:r>
      <w:proofErr w:type="spellStart"/>
      <w:r>
        <w:t>bc</w:t>
      </w:r>
      <w:proofErr w:type="spellEnd"/>
      <w:r w:rsidRPr="005960C9">
        <w:t xml:space="preserve"> not </w:t>
      </w:r>
      <w:proofErr w:type="spellStart"/>
      <w:proofErr w:type="gramStart"/>
      <w:r w:rsidRPr="005960C9">
        <w:t>NYers</w:t>
      </w:r>
      <w:proofErr w:type="spellEnd"/>
      <w:r w:rsidRPr="005960C9">
        <w:t>..</w:t>
      </w:r>
      <w:proofErr w:type="gramEnd"/>
      <w:r w:rsidRPr="005960C9">
        <w:t xml:space="preserve"> options 1 and 2 are sort of bizarre, 3 is a real one.</w:t>
      </w:r>
      <w:r>
        <w:t>’</w:t>
      </w:r>
    </w:p>
    <w:p w14:paraId="1707D012" w14:textId="77777777" w:rsidR="00E13C56" w:rsidRDefault="00E13C56" w:rsidP="00E13C56"/>
    <w:p w14:paraId="21C60CDF" w14:textId="77777777" w:rsidR="00E13C56" w:rsidRDefault="00E13C56" w:rsidP="00E13C56">
      <w:pPr>
        <w:numPr>
          <w:ilvl w:val="0"/>
          <w:numId w:val="19"/>
        </w:numPr>
      </w:pPr>
      <w:r>
        <w:t xml:space="preserve">claims that these first two interests are suspect anyway </w:t>
      </w:r>
      <w:proofErr w:type="spellStart"/>
      <w:r>
        <w:t>bc</w:t>
      </w:r>
      <w:proofErr w:type="spellEnd"/>
      <w:r>
        <w:t xml:space="preserve"> they mandate the application of the law justifying greater recovery, whether or not NY law</w:t>
      </w:r>
    </w:p>
    <w:p w14:paraId="45E881AE" w14:textId="77777777" w:rsidR="00E13C56" w:rsidRPr="003C41A5" w:rsidRDefault="00E13C56" w:rsidP="00E13C56">
      <w:pPr>
        <w:numPr>
          <w:ilvl w:val="0"/>
          <w:numId w:val="19"/>
        </w:numPr>
        <w:rPr>
          <w:i/>
        </w:rPr>
      </w:pPr>
      <w:r w:rsidRPr="003C41A5">
        <w:rPr>
          <w:i/>
        </w:rPr>
        <w:t xml:space="preserve">The first two reasons share common weaknesses. First, in the abstract, neither reason necessarily requires application of the locus jurisdiction's law, but rather invariably mandates application of the law of the jurisdiction that would either allow recovery or allow the greater recovery. They are subject to criticism, therefore, as being biased in favor of recovery. </w:t>
      </w:r>
    </w:p>
    <w:p w14:paraId="03C3D2AC" w14:textId="77777777" w:rsidR="00E13C56" w:rsidRDefault="00E13C56" w:rsidP="00E13C56"/>
    <w:p w14:paraId="0A75B787" w14:textId="77777777" w:rsidR="00E13C56" w:rsidRDefault="00E13C56" w:rsidP="00E13C56">
      <w:r>
        <w:t>This is a mistake</w:t>
      </w:r>
    </w:p>
    <w:p w14:paraId="610E5B81" w14:textId="77777777" w:rsidR="00E13C56" w:rsidRPr="005960C9" w:rsidRDefault="00E13C56" w:rsidP="00E13C56">
      <w:r w:rsidRPr="005960C9">
        <w:tab/>
      </w:r>
    </w:p>
    <w:p w14:paraId="7ED95D2B" w14:textId="77777777" w:rsidR="00E13C56" w:rsidRPr="005960C9" w:rsidRDefault="00E13C56" w:rsidP="00E13C56">
      <w:r w:rsidRPr="005960C9">
        <w:tab/>
        <w:t>In interest analysis you are trying to figure out scope of a state’s law by looking to purposes of that law… for that state…</w:t>
      </w:r>
    </w:p>
    <w:p w14:paraId="73D83DBE" w14:textId="77777777" w:rsidR="00E13C56" w:rsidRDefault="00E13C56" w:rsidP="00E13C56">
      <w:pPr>
        <w:rPr>
          <w:b/>
        </w:rPr>
      </w:pPr>
      <w:r w:rsidRPr="005960C9">
        <w:rPr>
          <w:b/>
        </w:rPr>
        <w:tab/>
        <w:t>So only look at NY interests, it is incoherent to apply NY interests to other state’s laws</w:t>
      </w:r>
    </w:p>
    <w:p w14:paraId="49C59D6E" w14:textId="77777777" w:rsidR="00E13C56" w:rsidRDefault="00E13C56" w:rsidP="00E13C56">
      <w:pPr>
        <w:rPr>
          <w:b/>
        </w:rPr>
      </w:pPr>
    </w:p>
    <w:p w14:paraId="3B5BA23E" w14:textId="0C6D489B" w:rsidR="00E13C56" w:rsidRPr="005960C9" w:rsidRDefault="00E13C56" w:rsidP="00E13C56"/>
    <w:p w14:paraId="456BEF9A" w14:textId="77777777" w:rsidR="00E13C56" w:rsidRPr="005960C9" w:rsidRDefault="00E13C56" w:rsidP="00E13C56"/>
    <w:p w14:paraId="58D3C0EF" w14:textId="77777777" w:rsidR="00E13C56" w:rsidRDefault="00E13C56" w:rsidP="00E13C56">
      <w:r w:rsidRPr="005960C9">
        <w:t xml:space="preserve">What they are really saying at the end is that NY’s nonimmunity rule (absence of immunity) is </w:t>
      </w:r>
      <w:r>
        <w:t>loss-allocating</w:t>
      </w:r>
    </w:p>
    <w:p w14:paraId="4E9D706F" w14:textId="77777777" w:rsidR="00E13C56" w:rsidRPr="003C41A5" w:rsidRDefault="00E13C56" w:rsidP="00E13C56">
      <w:pPr>
        <w:ind w:left="3600"/>
        <w:rPr>
          <w:i/>
        </w:rPr>
      </w:pPr>
      <w:r w:rsidRPr="003C41A5">
        <w:rPr>
          <w:i/>
        </w:rPr>
        <w:t xml:space="preserve">Finally, although it is conceivable that application of New York's law in this case would have some deterrent effect on future tortious conduct in this </w:t>
      </w:r>
      <w:r w:rsidRPr="003C41A5">
        <w:rPr>
          <w:i/>
        </w:rPr>
        <w:lastRenderedPageBreak/>
        <w:t xml:space="preserve">State, New York's deterrent interest is considerably less because none of the parties is a resident and the rule in conflict is loss-allocating rather than conduct-regulating. </w:t>
      </w:r>
    </w:p>
    <w:p w14:paraId="08EF237A" w14:textId="77777777" w:rsidR="00E13C56" w:rsidRPr="005960C9" w:rsidRDefault="00E13C56" w:rsidP="00E13C56"/>
    <w:p w14:paraId="5930A7EE" w14:textId="77777777" w:rsidR="00E13C56" w:rsidRPr="005960C9" w:rsidRDefault="00E13C56" w:rsidP="00E13C56">
      <w:r>
        <w:tab/>
        <w:t>This footnote has to be</w:t>
      </w:r>
      <w:r w:rsidRPr="005960C9">
        <w:t xml:space="preserve"> completely wrong… it would turn all conduct-regulating rules into loss-allocating rules whenever conflict with some loss-allocating r</w:t>
      </w:r>
      <w:r>
        <w:t>ules (e.g. qualified immunity)</w:t>
      </w:r>
      <w:r w:rsidRPr="005960C9">
        <w:tab/>
      </w:r>
    </w:p>
    <w:p w14:paraId="3AA74089" w14:textId="77777777" w:rsidR="00E13C56" w:rsidRPr="005960C9" w:rsidRDefault="00E13C56" w:rsidP="00E13C56">
      <w:r w:rsidRPr="005960C9">
        <w:tab/>
        <w:t>Right way is – 1 rule is conduct regulating (NY tort), and 1 is loss allocating (NJ immunity)</w:t>
      </w:r>
    </w:p>
    <w:p w14:paraId="3D6390E6" w14:textId="77777777" w:rsidR="00E13C56" w:rsidRDefault="00E13C56" w:rsidP="00E13C56"/>
    <w:p w14:paraId="2FBAAC2F" w14:textId="77777777" w:rsidR="00E13C56" w:rsidRDefault="00E13C56" w:rsidP="00E13C56">
      <w:proofErr w:type="gramStart"/>
      <w:r>
        <w:t>So</w:t>
      </w:r>
      <w:proofErr w:type="gramEnd"/>
      <w:r>
        <w:t xml:space="preserve"> it looks like a true conflict between NY’s deterrence interest and NJ’s loss allocation interest</w:t>
      </w:r>
    </w:p>
    <w:p w14:paraId="276C5EBE" w14:textId="77777777" w:rsidR="00E13C56" w:rsidRPr="005960C9" w:rsidRDefault="00E13C56" w:rsidP="00E13C56"/>
    <w:p w14:paraId="037B666F" w14:textId="77777777" w:rsidR="00E13C56" w:rsidRDefault="00E13C56" w:rsidP="00E13C56">
      <w:r w:rsidRPr="005960C9">
        <w:tab/>
      </w:r>
      <w:r>
        <w:t>But how strong is NY’s deterrence interest?</w:t>
      </w:r>
    </w:p>
    <w:p w14:paraId="301567C6" w14:textId="77777777" w:rsidR="00E13C56" w:rsidRPr="005960C9" w:rsidRDefault="00E13C56" w:rsidP="00E13C56">
      <w:pPr>
        <w:pStyle w:val="ListParagraph"/>
        <w:numPr>
          <w:ilvl w:val="0"/>
          <w:numId w:val="20"/>
        </w:numPr>
      </w:pPr>
      <w:r>
        <w:t>Not that much – the negligent hiring occurred in NJ</w:t>
      </w:r>
    </w:p>
    <w:p w14:paraId="403ADA4A" w14:textId="77777777" w:rsidR="00E13C56" w:rsidRPr="005960C9" w:rsidRDefault="00E13C56" w:rsidP="00E13C56">
      <w:r>
        <w:tab/>
        <w:t>We</w:t>
      </w:r>
      <w:r w:rsidRPr="005960C9">
        <w:t xml:space="preserve"> wouldn’t expect negligent hiring</w:t>
      </w:r>
      <w:r>
        <w:t xml:space="preserve"> elsewhere to cause harm in NY</w:t>
      </w:r>
    </w:p>
    <w:p w14:paraId="2CD52E0A" w14:textId="77777777" w:rsidR="00E13C56" w:rsidRPr="005960C9" w:rsidRDefault="00E13C56" w:rsidP="00E13C56">
      <w:r w:rsidRPr="005960C9">
        <w:tab/>
        <w:t xml:space="preserve">So this is a strong interest (preventing child molestation), but the interest will not be vindicated very much by applying </w:t>
      </w:r>
      <w:r>
        <w:t>NY law</w:t>
      </w:r>
      <w:r w:rsidRPr="005960C9">
        <w:t xml:space="preserve"> – interest isn’t realized/furthered to any significant extent</w:t>
      </w:r>
    </w:p>
    <w:p w14:paraId="0953F15B" w14:textId="77777777" w:rsidR="00E13C56" w:rsidRPr="005960C9" w:rsidRDefault="00E13C56" w:rsidP="00E13C56"/>
    <w:p w14:paraId="745EDA9D" w14:textId="77777777" w:rsidR="00E13C56" w:rsidRPr="005960C9" w:rsidRDefault="00E13C56" w:rsidP="00E13C56">
      <w:r w:rsidRPr="005960C9">
        <w:t>Schultz is a true conflict case</w:t>
      </w:r>
    </w:p>
    <w:p w14:paraId="75F5BFD4" w14:textId="77777777" w:rsidR="00E13C56" w:rsidRPr="005960C9" w:rsidRDefault="00E13C56" w:rsidP="00E13C56">
      <w:r w:rsidRPr="005960C9">
        <w:tab/>
        <w:t>Another factor here is that P was forum-shopping, and thought NY was more likely to apply its law, so NY disliked the forum-shopping</w:t>
      </w:r>
    </w:p>
    <w:p w14:paraId="6FCD1F86" w14:textId="77777777" w:rsidR="00E13C56" w:rsidRPr="005960C9" w:rsidRDefault="00E13C56" w:rsidP="00E13C56"/>
    <w:p w14:paraId="2B3F4D18" w14:textId="77777777" w:rsidR="00E13C56" w:rsidRPr="005960C9" w:rsidRDefault="00E13C56" w:rsidP="00E13C56"/>
    <w:p w14:paraId="367D5D79" w14:textId="77777777" w:rsidR="00E13C56" w:rsidRPr="005960C9" w:rsidRDefault="00E13C56" w:rsidP="00E13C56">
      <w:r>
        <w:t xml:space="preserve">In some respects Schultz is like </w:t>
      </w:r>
      <w:r w:rsidRPr="005960C9">
        <w:t xml:space="preserve">Kell </w:t>
      </w:r>
    </w:p>
    <w:p w14:paraId="0277B6F0" w14:textId="77777777" w:rsidR="00E13C56" w:rsidRPr="005960C9" w:rsidRDefault="00E13C56" w:rsidP="00E13C56">
      <w:r w:rsidRPr="005960C9">
        <w:tab/>
        <w:t>Ontario residents</w:t>
      </w:r>
    </w:p>
    <w:p w14:paraId="45B1CFB5" w14:textId="77777777" w:rsidR="00E13C56" w:rsidRPr="005960C9" w:rsidRDefault="00E13C56" w:rsidP="00E13C56">
      <w:r w:rsidRPr="005960C9">
        <w:tab/>
        <w:t>Trip begins and ends in Ontario</w:t>
      </w:r>
    </w:p>
    <w:p w14:paraId="517A2746" w14:textId="77777777" w:rsidR="00E13C56" w:rsidRPr="005960C9" w:rsidRDefault="00E13C56" w:rsidP="00E13C56">
      <w:r w:rsidRPr="005960C9">
        <w:tab/>
        <w:t>Accident in NY</w:t>
      </w:r>
    </w:p>
    <w:p w14:paraId="56419513" w14:textId="77777777" w:rsidR="00E13C56" w:rsidRDefault="00E13C56" w:rsidP="00E13C56">
      <w:r w:rsidRPr="005960C9">
        <w:tab/>
        <w:t>Court applied NY law, not Ontario guest statute</w:t>
      </w:r>
    </w:p>
    <w:p w14:paraId="2D00E247" w14:textId="77777777" w:rsidR="00E13C56" w:rsidRPr="005960C9" w:rsidRDefault="00E13C56" w:rsidP="00E13C56">
      <w:r>
        <w:t xml:space="preserve">NY has deterrence interest that the </w:t>
      </w:r>
      <w:proofErr w:type="spellStart"/>
      <w:r>
        <w:t>ourt</w:t>
      </w:r>
      <w:proofErr w:type="spellEnd"/>
      <w:r>
        <w:t xml:space="preserve"> favors over </w:t>
      </w:r>
      <w:proofErr w:type="spellStart"/>
      <w:r>
        <w:t>Ontaruio’s</w:t>
      </w:r>
      <w:proofErr w:type="spellEnd"/>
      <w:r>
        <w:t xml:space="preserve"> loss </w:t>
      </w:r>
      <w:proofErr w:type="gramStart"/>
      <w:r>
        <w:t>allocation  interest</w:t>
      </w:r>
      <w:proofErr w:type="gramEnd"/>
    </w:p>
    <w:p w14:paraId="15F5989C" w14:textId="77777777" w:rsidR="00E13C56" w:rsidRDefault="00E13C56" w:rsidP="00E13C56">
      <w:r w:rsidRPr="005960C9">
        <w:tab/>
      </w:r>
    </w:p>
    <w:p w14:paraId="09EC51D9" w14:textId="71DAB91C" w:rsidR="00E13C56" w:rsidRPr="005960C9" w:rsidRDefault="00E13C56" w:rsidP="00E13C56">
      <w:r w:rsidRPr="005960C9">
        <w:tab/>
      </w:r>
      <w:r>
        <w:tab/>
      </w:r>
      <w:r>
        <w:tab/>
      </w:r>
      <w:r w:rsidRPr="005960C9">
        <w:t xml:space="preserve">difference is most of the wrongdoing occurred out-of-state, so </w:t>
      </w:r>
      <w:r>
        <w:t xml:space="preserve">the </w:t>
      </w:r>
      <w:r w:rsidRPr="005960C9">
        <w:t>balance comes out differently</w:t>
      </w:r>
    </w:p>
    <w:p w14:paraId="4A0C95A6" w14:textId="77777777" w:rsidR="00E13C56" w:rsidRDefault="00E13C56" w:rsidP="00E13C56">
      <w:r w:rsidRPr="005960C9">
        <w:tab/>
      </w:r>
    </w:p>
    <w:p w14:paraId="5FD5D466" w14:textId="77777777" w:rsidR="00E13C56" w:rsidRPr="005960C9" w:rsidRDefault="00E13C56" w:rsidP="00E13C56"/>
    <w:p w14:paraId="03AC63D9" w14:textId="77777777" w:rsidR="00E13C56" w:rsidRDefault="00E13C56" w:rsidP="00E13C56">
      <w:pPr>
        <w:pStyle w:val="ListParagraph"/>
        <w:ind w:left="2268"/>
      </w:pPr>
    </w:p>
    <w:p w14:paraId="077F3C80" w14:textId="77777777" w:rsidR="00E13C56" w:rsidRDefault="00E13C56" w:rsidP="00E13C56">
      <w:r>
        <w:t>Franciscans?</w:t>
      </w:r>
    </w:p>
    <w:p w14:paraId="3740A49C" w14:textId="77777777" w:rsidR="00E13C56" w:rsidRDefault="00E13C56" w:rsidP="00E13C56">
      <w:pPr>
        <w:pStyle w:val="ListParagraph"/>
        <w:ind w:left="2268"/>
      </w:pPr>
    </w:p>
    <w:p w14:paraId="45F7D1A8" w14:textId="77777777" w:rsidR="00E13C56" w:rsidRDefault="00E13C56" w:rsidP="00E13C56">
      <w:pPr>
        <w:numPr>
          <w:ilvl w:val="4"/>
          <w:numId w:val="4"/>
        </w:numPr>
      </w:pPr>
      <w:r>
        <w:t>Not  common domicile</w:t>
      </w:r>
    </w:p>
    <w:p w14:paraId="4F3303D4" w14:textId="77777777" w:rsidR="00E13C56" w:rsidRDefault="00E13C56" w:rsidP="00E13C56">
      <w:pPr>
        <w:numPr>
          <w:ilvl w:val="4"/>
          <w:numId w:val="4"/>
        </w:numPr>
      </w:pPr>
      <w:r>
        <w:t>This brings up the 3</w:t>
      </w:r>
      <w:r w:rsidRPr="005D6B7F">
        <w:rPr>
          <w:vertAlign w:val="superscript"/>
        </w:rPr>
        <w:t>rd</w:t>
      </w:r>
      <w:r>
        <w:t xml:space="preserve"> Neumeier rule</w:t>
      </w:r>
    </w:p>
    <w:p w14:paraId="7326C822" w14:textId="77777777" w:rsidR="00E13C56" w:rsidRPr="005D6B7F" w:rsidRDefault="00E13C56" w:rsidP="00E13C56">
      <w:pPr>
        <w:numPr>
          <w:ilvl w:val="4"/>
          <w:numId w:val="4"/>
        </w:numPr>
        <w:rPr>
          <w:rStyle w:val="apple-style-span"/>
        </w:rPr>
      </w:pPr>
      <w:r>
        <w:t>"</w:t>
      </w:r>
      <w:r w:rsidRPr="00A776EF">
        <w:rPr>
          <w:color w:val="000000"/>
          <w:sz w:val="26"/>
          <w:szCs w:val="26"/>
        </w:rPr>
        <w:t xml:space="preserve"> </w:t>
      </w:r>
      <w:r>
        <w:rPr>
          <w:rStyle w:val="apple-style-span"/>
          <w:color w:val="000000"/>
          <w:sz w:val="26"/>
          <w:szCs w:val="26"/>
        </w:rPr>
        <w:t>As to defendant Franciscan Brothers, this action requires an application of the third of the rules set forth in</w:t>
      </w:r>
      <w:r>
        <w:rPr>
          <w:rStyle w:val="apple-converted-space"/>
          <w:rFonts w:eastAsiaTheme="majorEastAsia"/>
          <w:color w:val="000000"/>
          <w:sz w:val="26"/>
          <w:szCs w:val="26"/>
        </w:rPr>
        <w:t> </w:t>
      </w:r>
      <w:r>
        <w:rPr>
          <w:rStyle w:val="Emphasis"/>
          <w:color w:val="000000"/>
          <w:sz w:val="26"/>
          <w:szCs w:val="26"/>
        </w:rPr>
        <w:t>Neumeier</w:t>
      </w:r>
      <w:r>
        <w:rPr>
          <w:rStyle w:val="apple-converted-space"/>
          <w:rFonts w:eastAsiaTheme="majorEastAsia"/>
          <w:color w:val="000000"/>
          <w:sz w:val="26"/>
          <w:szCs w:val="26"/>
        </w:rPr>
        <w:t> </w:t>
      </w:r>
      <w:r>
        <w:rPr>
          <w:rStyle w:val="apple-style-span"/>
          <w:color w:val="000000"/>
          <w:sz w:val="26"/>
          <w:szCs w:val="26"/>
        </w:rPr>
        <w:t xml:space="preserve">because the parties are domiciled in different jurisdictions with </w:t>
      </w:r>
      <w:r>
        <w:rPr>
          <w:rStyle w:val="apple-style-span"/>
          <w:color w:val="000000"/>
          <w:sz w:val="26"/>
          <w:szCs w:val="26"/>
        </w:rPr>
        <w:lastRenderedPageBreak/>
        <w:t>conflicting loss-distribution rules and the locus of the tort is New York, a separate jurisdiction. In that situation the law of the place of the tort will normally apply, unless displacing it "'will advance' the relevant substantive law purposes without impairing the smooth working of the multi-state system or producing great uncertainty for litigants'""</w:t>
      </w:r>
    </w:p>
    <w:p w14:paraId="31D8C4AD" w14:textId="77777777" w:rsidR="00E13C56" w:rsidRDefault="00E13C56" w:rsidP="00E13C56">
      <w:pPr>
        <w:ind w:left="3600"/>
      </w:pPr>
    </w:p>
    <w:p w14:paraId="63FDF24B" w14:textId="77777777" w:rsidR="00E13C56" w:rsidRDefault="00E13C56" w:rsidP="00E13C56">
      <w:pPr>
        <w:ind w:left="4320"/>
      </w:pPr>
    </w:p>
    <w:p w14:paraId="20451219" w14:textId="619E766E" w:rsidR="00E13C56" w:rsidRDefault="00E13C56" w:rsidP="00E13C56">
      <w:pPr>
        <w:rPr>
          <w:rStyle w:val="apple-style-span"/>
          <w:color w:val="000000"/>
          <w:sz w:val="26"/>
          <w:szCs w:val="26"/>
        </w:rPr>
      </w:pPr>
      <w:r>
        <w:rPr>
          <w:rStyle w:val="apple-style-span"/>
          <w:color w:val="000000"/>
          <w:sz w:val="26"/>
          <w:szCs w:val="26"/>
        </w:rPr>
        <w:t xml:space="preserve">Court concludes that using NJ law 'will advance' the relevant substantive law purposes without impairing the smooth working of the multi-state system or producing great uncertainty for litigants'"  </w:t>
      </w:r>
    </w:p>
    <w:p w14:paraId="17323441" w14:textId="77777777" w:rsidR="00FF3E37" w:rsidRDefault="00FF3E37" w:rsidP="00E13C56">
      <w:pPr>
        <w:rPr>
          <w:rStyle w:val="apple-style-span"/>
          <w:color w:val="000000"/>
          <w:sz w:val="26"/>
          <w:szCs w:val="26"/>
        </w:rPr>
      </w:pPr>
    </w:p>
    <w:p w14:paraId="60F4A3A1" w14:textId="1F1772DE" w:rsidR="00FF3E37" w:rsidRDefault="00FF3E37" w:rsidP="00E13C56">
      <w:pPr>
        <w:rPr>
          <w:rStyle w:val="apple-style-span"/>
          <w:color w:val="000000"/>
          <w:sz w:val="26"/>
          <w:szCs w:val="26"/>
        </w:rPr>
      </w:pPr>
      <w:r>
        <w:rPr>
          <w:rStyle w:val="apple-style-span"/>
          <w:color w:val="000000"/>
          <w:sz w:val="26"/>
          <w:szCs w:val="26"/>
        </w:rPr>
        <w:t>We will discuss this Neumeier rule later</w:t>
      </w:r>
    </w:p>
    <w:p w14:paraId="14D3FD4F" w14:textId="77777777" w:rsidR="00E13C56" w:rsidRDefault="00E13C56" w:rsidP="00E13C56">
      <w:pPr>
        <w:rPr>
          <w:rStyle w:val="apple-style-span"/>
          <w:color w:val="000000"/>
          <w:sz w:val="26"/>
          <w:szCs w:val="26"/>
        </w:rPr>
      </w:pPr>
    </w:p>
    <w:p w14:paraId="23A98A54" w14:textId="77777777" w:rsidR="00E13C56" w:rsidRDefault="00E13C56" w:rsidP="00E13C56">
      <w:r>
        <w:t>Reason is primarily that NY has no significant deterrence interest</w:t>
      </w:r>
    </w:p>
    <w:p w14:paraId="3A2C8F0F" w14:textId="77777777" w:rsidR="00E13C56" w:rsidRDefault="00E13C56" w:rsidP="00E13C56"/>
    <w:p w14:paraId="5A79046B" w14:textId="77777777" w:rsidR="00E13C56" w:rsidRPr="005960C9" w:rsidRDefault="00E13C56" w:rsidP="00E13C56">
      <w:r>
        <w:t xml:space="preserve">Also appeals to </w:t>
      </w:r>
      <w:r w:rsidRPr="005960C9">
        <w:t>Forum-shopping – so want things to turn out the same way regardless of where suit is brought… so NY doesn’t pick its own law to achieve horizontal uniformity and thwart P’s attempt at forum-shopping in this case. They want a uniform rule in which forum is irrelevant.</w:t>
      </w:r>
    </w:p>
    <w:p w14:paraId="76CD3C7C" w14:textId="03100026" w:rsidR="00E13C56" w:rsidRPr="005960C9" w:rsidRDefault="00E13C56" w:rsidP="00FF3E37">
      <w:r w:rsidRPr="005960C9">
        <w:tab/>
        <w:t xml:space="preserve"> </w:t>
      </w:r>
    </w:p>
    <w:p w14:paraId="3A964AFF" w14:textId="77777777" w:rsidR="00E13C56" w:rsidRPr="005960C9" w:rsidRDefault="00E13C56" w:rsidP="00E13C56"/>
    <w:p w14:paraId="32C7EC7C" w14:textId="77777777" w:rsidR="00E13C56" w:rsidRPr="005960C9" w:rsidRDefault="00E13C56" w:rsidP="00E13C56"/>
    <w:p w14:paraId="3AC80E57" w14:textId="77777777" w:rsidR="00E13C56" w:rsidRPr="005960C9" w:rsidRDefault="00E13C56" w:rsidP="00E13C56">
      <w:pPr>
        <w:rPr>
          <w:b/>
          <w:u w:val="single"/>
        </w:rPr>
      </w:pPr>
      <w:r w:rsidRPr="005960C9">
        <w:rPr>
          <w:b/>
        </w:rPr>
        <w:tab/>
      </w:r>
      <w:r w:rsidRPr="005960C9">
        <w:rPr>
          <w:b/>
          <w:u w:val="single"/>
        </w:rPr>
        <w:t>Unprovided-for Case</w:t>
      </w:r>
    </w:p>
    <w:p w14:paraId="27DAE969" w14:textId="77777777" w:rsidR="00E13C56" w:rsidRPr="005960C9" w:rsidRDefault="00E13C56" w:rsidP="00E13C56">
      <w:r w:rsidRPr="005960C9">
        <w:rPr>
          <w:b/>
        </w:rPr>
        <w:tab/>
      </w:r>
      <w:r w:rsidRPr="005960C9">
        <w:rPr>
          <w:b/>
        </w:rPr>
        <w:tab/>
      </w:r>
      <w:r w:rsidRPr="005960C9">
        <w:t xml:space="preserve">When you look to purposes of each state’s laws, neither applies because neither </w:t>
      </w:r>
      <w:r w:rsidRPr="005960C9">
        <w:tab/>
        <w:t>state has an interest in its own law applying – neither cares…</w:t>
      </w:r>
    </w:p>
    <w:p w14:paraId="143937C4" w14:textId="77777777" w:rsidR="00E13C56" w:rsidRPr="005960C9" w:rsidRDefault="00E13C56" w:rsidP="00E13C56">
      <w:pPr>
        <w:ind w:left="720"/>
      </w:pPr>
    </w:p>
    <w:p w14:paraId="721D0CC7" w14:textId="77777777" w:rsidR="00E13C56" w:rsidRPr="005960C9" w:rsidRDefault="00E13C56" w:rsidP="00E13C56">
      <w:pPr>
        <w:numPr>
          <w:ilvl w:val="0"/>
          <w:numId w:val="17"/>
        </w:numPr>
      </w:pPr>
      <w:r w:rsidRPr="005960C9">
        <w:t>Arizonan and Californian get in accident in Arizona</w:t>
      </w:r>
    </w:p>
    <w:p w14:paraId="5F801F6F" w14:textId="77777777" w:rsidR="00E13C56" w:rsidRPr="005960C9" w:rsidRDefault="00E13C56" w:rsidP="00E13C56">
      <w:pPr>
        <w:numPr>
          <w:ilvl w:val="0"/>
          <w:numId w:val="17"/>
        </w:numPr>
      </w:pPr>
      <w:r w:rsidRPr="005960C9">
        <w:t>Californian dies</w:t>
      </w:r>
    </w:p>
    <w:p w14:paraId="5142C9F4" w14:textId="77777777" w:rsidR="00E13C56" w:rsidRPr="005960C9" w:rsidRDefault="00E13C56" w:rsidP="00E13C56">
      <w:pPr>
        <w:numPr>
          <w:ilvl w:val="0"/>
          <w:numId w:val="17"/>
        </w:numPr>
      </w:pPr>
      <w:r w:rsidRPr="005960C9">
        <w:t>Arizonan sues Californian’s estate</w:t>
      </w:r>
    </w:p>
    <w:p w14:paraId="0A4A6D4F" w14:textId="77777777" w:rsidR="00E13C56" w:rsidRPr="005960C9" w:rsidRDefault="00E13C56" w:rsidP="00E13C56">
      <w:pPr>
        <w:numPr>
          <w:ilvl w:val="0"/>
          <w:numId w:val="17"/>
        </w:numPr>
      </w:pPr>
      <w:r w:rsidRPr="005960C9">
        <w:t>AZ has no survivorship of actions</w:t>
      </w:r>
    </w:p>
    <w:p w14:paraId="6450371B" w14:textId="77777777" w:rsidR="00E13C56" w:rsidRPr="005960C9" w:rsidRDefault="00E13C56" w:rsidP="00E13C56">
      <w:pPr>
        <w:numPr>
          <w:ilvl w:val="0"/>
          <w:numId w:val="17"/>
        </w:numPr>
      </w:pPr>
      <w:r w:rsidRPr="005960C9">
        <w:t>Cal does</w:t>
      </w:r>
    </w:p>
    <w:p w14:paraId="745EE49E" w14:textId="77777777" w:rsidR="00E13C56" w:rsidRPr="005960C9" w:rsidRDefault="00E13C56" w:rsidP="00E13C56"/>
    <w:p w14:paraId="77756B1F" w14:textId="77777777" w:rsidR="00E13C56" w:rsidRPr="005960C9" w:rsidRDefault="00E13C56" w:rsidP="00E13C56">
      <w:r>
        <w:t xml:space="preserve">AZ: </w:t>
      </w:r>
      <w:r w:rsidRPr="005960C9">
        <w:t xml:space="preserve"> If you die, we wo</w:t>
      </w:r>
      <w:r>
        <w:t xml:space="preserve">n’t let them sue your heirs, </w:t>
      </w:r>
      <w:proofErr w:type="spellStart"/>
      <w:r>
        <w:t>bc</w:t>
      </w:r>
      <w:proofErr w:type="spellEnd"/>
      <w:r>
        <w:t xml:space="preserve"> we want to</w:t>
      </w:r>
      <w:r w:rsidRPr="005960C9">
        <w:t xml:space="preserve"> protect estates (to the detriment of plaintiffs).</w:t>
      </w:r>
    </w:p>
    <w:p w14:paraId="6E9B697D" w14:textId="77777777" w:rsidR="00E13C56" w:rsidRPr="005960C9" w:rsidRDefault="00E13C56" w:rsidP="00E13C56">
      <w:r w:rsidRPr="005960C9">
        <w:tab/>
        <w:t>Cal is pro-plaintiff</w:t>
      </w:r>
    </w:p>
    <w:p w14:paraId="5B2AC989" w14:textId="77777777" w:rsidR="00E13C56" w:rsidRPr="005960C9" w:rsidRDefault="00E13C56" w:rsidP="00E13C56">
      <w:r w:rsidRPr="005960C9">
        <w:tab/>
        <w:t>Arizona is pro-defendant</w:t>
      </w:r>
    </w:p>
    <w:p w14:paraId="1382609E" w14:textId="77777777" w:rsidR="00E13C56" w:rsidRPr="005960C9" w:rsidRDefault="00E13C56" w:rsidP="00E13C56">
      <w:r w:rsidRPr="005960C9">
        <w:tab/>
      </w:r>
      <w:r w:rsidRPr="005960C9">
        <w:tab/>
        <w:t>Arizona P, California D</w:t>
      </w:r>
    </w:p>
    <w:p w14:paraId="0BC14AB1" w14:textId="77777777" w:rsidR="00E13C56" w:rsidRPr="005960C9" w:rsidRDefault="00E13C56" w:rsidP="00E13C56"/>
    <w:p w14:paraId="115B321C" w14:textId="77777777" w:rsidR="00E13C56" w:rsidRDefault="00E13C56" w:rsidP="00E13C56">
      <w:r>
        <w:t>To have an “unprovided-for case” here, y</w:t>
      </w:r>
      <w:r w:rsidRPr="005960C9">
        <w:t>ou need</w:t>
      </w:r>
      <w:r>
        <w:t>:</w:t>
      </w:r>
    </w:p>
    <w:p w14:paraId="729E0C6C" w14:textId="77777777" w:rsidR="00E13C56" w:rsidRPr="005960C9" w:rsidRDefault="00E13C56" w:rsidP="00E13C56">
      <w:r>
        <w:tab/>
      </w:r>
      <w:r w:rsidRPr="005960C9">
        <w:t xml:space="preserve">P’s domicile law </w:t>
      </w:r>
      <w:r>
        <w:t xml:space="preserve">to </w:t>
      </w:r>
      <w:r w:rsidRPr="005960C9">
        <w:t>benefit D</w:t>
      </w:r>
    </w:p>
    <w:p w14:paraId="344F8A8A" w14:textId="77777777" w:rsidR="00E13C56" w:rsidRPr="005960C9" w:rsidRDefault="00E13C56" w:rsidP="00E13C56">
      <w:r>
        <w:tab/>
      </w:r>
      <w:r w:rsidRPr="005960C9">
        <w:t xml:space="preserve">D’s domicile law </w:t>
      </w:r>
      <w:r>
        <w:t xml:space="preserve">to </w:t>
      </w:r>
      <w:r w:rsidRPr="005960C9">
        <w:t>benefit P</w:t>
      </w:r>
    </w:p>
    <w:p w14:paraId="6A829AFC" w14:textId="77777777" w:rsidR="00E13C56" w:rsidRPr="005960C9" w:rsidRDefault="00E13C56" w:rsidP="00E13C56">
      <w:r w:rsidRPr="005960C9">
        <w:t>Wrongdoing is in P’s domicile (or some third state that prohibits recovery)</w:t>
      </w:r>
    </w:p>
    <w:p w14:paraId="2F80A0FF" w14:textId="77777777" w:rsidR="00E13C56" w:rsidRPr="005960C9" w:rsidRDefault="00E13C56" w:rsidP="00E13C56">
      <w:r w:rsidRPr="005960C9">
        <w:lastRenderedPageBreak/>
        <w:tab/>
      </w:r>
    </w:p>
    <w:p w14:paraId="74AD1C3E" w14:textId="77777777" w:rsidR="00E13C56" w:rsidRPr="005960C9" w:rsidRDefault="00E13C56" w:rsidP="00E13C56">
      <w:r w:rsidRPr="005960C9">
        <w:tab/>
      </w:r>
      <w:r>
        <w:t>Example is Neumeier:</w:t>
      </w:r>
    </w:p>
    <w:p w14:paraId="30216CE9" w14:textId="77777777" w:rsidR="00E13C56" w:rsidRPr="005960C9" w:rsidRDefault="00E13C56" w:rsidP="00E13C56"/>
    <w:p w14:paraId="0D5C0030" w14:textId="77777777" w:rsidR="00E13C56" w:rsidRPr="005960C9" w:rsidRDefault="00E13C56" w:rsidP="00E13C56">
      <w:pPr>
        <w:numPr>
          <w:ilvl w:val="0"/>
          <w:numId w:val="18"/>
        </w:numPr>
      </w:pPr>
      <w:r w:rsidRPr="005960C9">
        <w:t xml:space="preserve">Ontario guest riding in </w:t>
      </w:r>
      <w:proofErr w:type="spellStart"/>
      <w:r w:rsidRPr="005960C9">
        <w:t>NYer’s</w:t>
      </w:r>
      <w:proofErr w:type="spellEnd"/>
      <w:r w:rsidRPr="005960C9">
        <w:t xml:space="preserve"> car </w:t>
      </w:r>
    </w:p>
    <w:p w14:paraId="1D7FE73D" w14:textId="77777777" w:rsidR="00E13C56" w:rsidRPr="005960C9" w:rsidRDefault="00E13C56" w:rsidP="00E13C56">
      <w:pPr>
        <w:numPr>
          <w:ilvl w:val="0"/>
          <w:numId w:val="18"/>
        </w:numPr>
      </w:pPr>
      <w:r w:rsidRPr="005960C9">
        <w:t>accident in Ontario</w:t>
      </w:r>
    </w:p>
    <w:p w14:paraId="4ED6D2AC" w14:textId="77777777" w:rsidR="00E13C56" w:rsidRPr="005960C9" w:rsidRDefault="00E13C56" w:rsidP="00E13C56">
      <w:pPr>
        <w:numPr>
          <w:ilvl w:val="0"/>
          <w:numId w:val="18"/>
        </w:numPr>
      </w:pPr>
      <w:r w:rsidRPr="005960C9">
        <w:t xml:space="preserve">Ontario has guest statute </w:t>
      </w:r>
    </w:p>
    <w:p w14:paraId="225CDD37" w14:textId="77777777" w:rsidR="00E13C56" w:rsidRDefault="00E13C56" w:rsidP="00E13C56">
      <w:pPr>
        <w:numPr>
          <w:ilvl w:val="0"/>
          <w:numId w:val="18"/>
        </w:numPr>
      </w:pPr>
      <w:r w:rsidRPr="005960C9">
        <w:t>NY doesn’t</w:t>
      </w:r>
    </w:p>
    <w:p w14:paraId="1711A008" w14:textId="77777777" w:rsidR="00E13C56" w:rsidRDefault="00E13C56" w:rsidP="007645F6">
      <w:bookmarkStart w:id="0" w:name="_GoBack"/>
      <w:bookmarkEnd w:id="0"/>
    </w:p>
    <w:sectPr w:rsidR="00E13C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80F"/>
    <w:multiLevelType w:val="hybridMultilevel"/>
    <w:tmpl w:val="404046D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530B"/>
    <w:multiLevelType w:val="hybridMultilevel"/>
    <w:tmpl w:val="23FCD944"/>
    <w:lvl w:ilvl="0" w:tplc="A252C1FE">
      <w:start w:val="1"/>
      <w:numFmt w:val="bullet"/>
      <w:lvlText w:val="•"/>
      <w:lvlJc w:val="left"/>
      <w:pPr>
        <w:tabs>
          <w:tab w:val="num" w:pos="720"/>
        </w:tabs>
        <w:ind w:left="720" w:hanging="360"/>
      </w:pPr>
      <w:rPr>
        <w:rFonts w:ascii="Arial" w:hAnsi="Arial" w:hint="default"/>
      </w:rPr>
    </w:lvl>
    <w:lvl w:ilvl="1" w:tplc="A7586CD6" w:tentative="1">
      <w:start w:val="1"/>
      <w:numFmt w:val="bullet"/>
      <w:lvlText w:val="•"/>
      <w:lvlJc w:val="left"/>
      <w:pPr>
        <w:tabs>
          <w:tab w:val="num" w:pos="1440"/>
        </w:tabs>
        <w:ind w:left="1440" w:hanging="360"/>
      </w:pPr>
      <w:rPr>
        <w:rFonts w:ascii="Arial" w:hAnsi="Arial" w:hint="default"/>
      </w:rPr>
    </w:lvl>
    <w:lvl w:ilvl="2" w:tplc="D1A6559C" w:tentative="1">
      <w:start w:val="1"/>
      <w:numFmt w:val="bullet"/>
      <w:lvlText w:val="•"/>
      <w:lvlJc w:val="left"/>
      <w:pPr>
        <w:tabs>
          <w:tab w:val="num" w:pos="2160"/>
        </w:tabs>
        <w:ind w:left="2160" w:hanging="360"/>
      </w:pPr>
      <w:rPr>
        <w:rFonts w:ascii="Arial" w:hAnsi="Arial" w:hint="default"/>
      </w:rPr>
    </w:lvl>
    <w:lvl w:ilvl="3" w:tplc="C0BEE5EC" w:tentative="1">
      <w:start w:val="1"/>
      <w:numFmt w:val="bullet"/>
      <w:lvlText w:val="•"/>
      <w:lvlJc w:val="left"/>
      <w:pPr>
        <w:tabs>
          <w:tab w:val="num" w:pos="2880"/>
        </w:tabs>
        <w:ind w:left="2880" w:hanging="360"/>
      </w:pPr>
      <w:rPr>
        <w:rFonts w:ascii="Arial" w:hAnsi="Arial" w:hint="default"/>
      </w:rPr>
    </w:lvl>
    <w:lvl w:ilvl="4" w:tplc="2634DD64" w:tentative="1">
      <w:start w:val="1"/>
      <w:numFmt w:val="bullet"/>
      <w:lvlText w:val="•"/>
      <w:lvlJc w:val="left"/>
      <w:pPr>
        <w:tabs>
          <w:tab w:val="num" w:pos="3600"/>
        </w:tabs>
        <w:ind w:left="3600" w:hanging="360"/>
      </w:pPr>
      <w:rPr>
        <w:rFonts w:ascii="Arial" w:hAnsi="Arial" w:hint="default"/>
      </w:rPr>
    </w:lvl>
    <w:lvl w:ilvl="5" w:tplc="CE9AA4F2" w:tentative="1">
      <w:start w:val="1"/>
      <w:numFmt w:val="bullet"/>
      <w:lvlText w:val="•"/>
      <w:lvlJc w:val="left"/>
      <w:pPr>
        <w:tabs>
          <w:tab w:val="num" w:pos="4320"/>
        </w:tabs>
        <w:ind w:left="4320" w:hanging="360"/>
      </w:pPr>
      <w:rPr>
        <w:rFonts w:ascii="Arial" w:hAnsi="Arial" w:hint="default"/>
      </w:rPr>
    </w:lvl>
    <w:lvl w:ilvl="6" w:tplc="71F2D08C" w:tentative="1">
      <w:start w:val="1"/>
      <w:numFmt w:val="bullet"/>
      <w:lvlText w:val="•"/>
      <w:lvlJc w:val="left"/>
      <w:pPr>
        <w:tabs>
          <w:tab w:val="num" w:pos="5040"/>
        </w:tabs>
        <w:ind w:left="5040" w:hanging="360"/>
      </w:pPr>
      <w:rPr>
        <w:rFonts w:ascii="Arial" w:hAnsi="Arial" w:hint="default"/>
      </w:rPr>
    </w:lvl>
    <w:lvl w:ilvl="7" w:tplc="044AD67C" w:tentative="1">
      <w:start w:val="1"/>
      <w:numFmt w:val="bullet"/>
      <w:lvlText w:val="•"/>
      <w:lvlJc w:val="left"/>
      <w:pPr>
        <w:tabs>
          <w:tab w:val="num" w:pos="5760"/>
        </w:tabs>
        <w:ind w:left="5760" w:hanging="360"/>
      </w:pPr>
      <w:rPr>
        <w:rFonts w:ascii="Arial" w:hAnsi="Arial" w:hint="default"/>
      </w:rPr>
    </w:lvl>
    <w:lvl w:ilvl="8" w:tplc="F2BEFC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917856"/>
    <w:multiLevelType w:val="hybridMultilevel"/>
    <w:tmpl w:val="337A4CCE"/>
    <w:lvl w:ilvl="0" w:tplc="B6521BE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3D543A"/>
    <w:multiLevelType w:val="hybridMultilevel"/>
    <w:tmpl w:val="F2E854B2"/>
    <w:lvl w:ilvl="0" w:tplc="89A881DA">
      <w:start w:val="1"/>
      <w:numFmt w:val="bullet"/>
      <w:lvlText w:val="•"/>
      <w:lvlJc w:val="left"/>
      <w:pPr>
        <w:tabs>
          <w:tab w:val="num" w:pos="720"/>
        </w:tabs>
        <w:ind w:left="720" w:hanging="360"/>
      </w:pPr>
      <w:rPr>
        <w:rFonts w:ascii="Arial" w:hAnsi="Arial" w:hint="default"/>
      </w:rPr>
    </w:lvl>
    <w:lvl w:ilvl="1" w:tplc="0ECE6BE0" w:tentative="1">
      <w:start w:val="1"/>
      <w:numFmt w:val="bullet"/>
      <w:lvlText w:val="•"/>
      <w:lvlJc w:val="left"/>
      <w:pPr>
        <w:tabs>
          <w:tab w:val="num" w:pos="1440"/>
        </w:tabs>
        <w:ind w:left="1440" w:hanging="360"/>
      </w:pPr>
      <w:rPr>
        <w:rFonts w:ascii="Arial" w:hAnsi="Arial" w:hint="default"/>
      </w:rPr>
    </w:lvl>
    <w:lvl w:ilvl="2" w:tplc="07EE7120" w:tentative="1">
      <w:start w:val="1"/>
      <w:numFmt w:val="bullet"/>
      <w:lvlText w:val="•"/>
      <w:lvlJc w:val="left"/>
      <w:pPr>
        <w:tabs>
          <w:tab w:val="num" w:pos="2160"/>
        </w:tabs>
        <w:ind w:left="2160" w:hanging="360"/>
      </w:pPr>
      <w:rPr>
        <w:rFonts w:ascii="Arial" w:hAnsi="Arial" w:hint="default"/>
      </w:rPr>
    </w:lvl>
    <w:lvl w:ilvl="3" w:tplc="424A6724" w:tentative="1">
      <w:start w:val="1"/>
      <w:numFmt w:val="bullet"/>
      <w:lvlText w:val="•"/>
      <w:lvlJc w:val="left"/>
      <w:pPr>
        <w:tabs>
          <w:tab w:val="num" w:pos="2880"/>
        </w:tabs>
        <w:ind w:left="2880" w:hanging="360"/>
      </w:pPr>
      <w:rPr>
        <w:rFonts w:ascii="Arial" w:hAnsi="Arial" w:hint="default"/>
      </w:rPr>
    </w:lvl>
    <w:lvl w:ilvl="4" w:tplc="6B784B32" w:tentative="1">
      <w:start w:val="1"/>
      <w:numFmt w:val="bullet"/>
      <w:lvlText w:val="•"/>
      <w:lvlJc w:val="left"/>
      <w:pPr>
        <w:tabs>
          <w:tab w:val="num" w:pos="3600"/>
        </w:tabs>
        <w:ind w:left="3600" w:hanging="360"/>
      </w:pPr>
      <w:rPr>
        <w:rFonts w:ascii="Arial" w:hAnsi="Arial" w:hint="default"/>
      </w:rPr>
    </w:lvl>
    <w:lvl w:ilvl="5" w:tplc="1AF812C6" w:tentative="1">
      <w:start w:val="1"/>
      <w:numFmt w:val="bullet"/>
      <w:lvlText w:val="•"/>
      <w:lvlJc w:val="left"/>
      <w:pPr>
        <w:tabs>
          <w:tab w:val="num" w:pos="4320"/>
        </w:tabs>
        <w:ind w:left="4320" w:hanging="360"/>
      </w:pPr>
      <w:rPr>
        <w:rFonts w:ascii="Arial" w:hAnsi="Arial" w:hint="default"/>
      </w:rPr>
    </w:lvl>
    <w:lvl w:ilvl="6" w:tplc="77AEEF98" w:tentative="1">
      <w:start w:val="1"/>
      <w:numFmt w:val="bullet"/>
      <w:lvlText w:val="•"/>
      <w:lvlJc w:val="left"/>
      <w:pPr>
        <w:tabs>
          <w:tab w:val="num" w:pos="5040"/>
        </w:tabs>
        <w:ind w:left="5040" w:hanging="360"/>
      </w:pPr>
      <w:rPr>
        <w:rFonts w:ascii="Arial" w:hAnsi="Arial" w:hint="default"/>
      </w:rPr>
    </w:lvl>
    <w:lvl w:ilvl="7" w:tplc="1C4E31F4" w:tentative="1">
      <w:start w:val="1"/>
      <w:numFmt w:val="bullet"/>
      <w:lvlText w:val="•"/>
      <w:lvlJc w:val="left"/>
      <w:pPr>
        <w:tabs>
          <w:tab w:val="num" w:pos="5760"/>
        </w:tabs>
        <w:ind w:left="5760" w:hanging="360"/>
      </w:pPr>
      <w:rPr>
        <w:rFonts w:ascii="Arial" w:hAnsi="Arial" w:hint="default"/>
      </w:rPr>
    </w:lvl>
    <w:lvl w:ilvl="8" w:tplc="D6C49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416494"/>
    <w:multiLevelType w:val="hybridMultilevel"/>
    <w:tmpl w:val="F6F49DBC"/>
    <w:lvl w:ilvl="0" w:tplc="D2F0E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27076C"/>
    <w:multiLevelType w:val="hybridMultilevel"/>
    <w:tmpl w:val="CE2017E4"/>
    <w:lvl w:ilvl="0" w:tplc="F88234C4">
      <w:start w:val="1"/>
      <w:numFmt w:val="bullet"/>
      <w:lvlText w:val="•"/>
      <w:lvlJc w:val="left"/>
      <w:pPr>
        <w:tabs>
          <w:tab w:val="num" w:pos="720"/>
        </w:tabs>
        <w:ind w:left="720" w:hanging="360"/>
      </w:pPr>
      <w:rPr>
        <w:rFonts w:ascii="Arial" w:hAnsi="Arial" w:hint="default"/>
      </w:rPr>
    </w:lvl>
    <w:lvl w:ilvl="1" w:tplc="D59C4FEC" w:tentative="1">
      <w:start w:val="1"/>
      <w:numFmt w:val="bullet"/>
      <w:lvlText w:val="•"/>
      <w:lvlJc w:val="left"/>
      <w:pPr>
        <w:tabs>
          <w:tab w:val="num" w:pos="1440"/>
        </w:tabs>
        <w:ind w:left="1440" w:hanging="360"/>
      </w:pPr>
      <w:rPr>
        <w:rFonts w:ascii="Arial" w:hAnsi="Arial" w:hint="default"/>
      </w:rPr>
    </w:lvl>
    <w:lvl w:ilvl="2" w:tplc="932ED768" w:tentative="1">
      <w:start w:val="1"/>
      <w:numFmt w:val="bullet"/>
      <w:lvlText w:val="•"/>
      <w:lvlJc w:val="left"/>
      <w:pPr>
        <w:tabs>
          <w:tab w:val="num" w:pos="2160"/>
        </w:tabs>
        <w:ind w:left="2160" w:hanging="360"/>
      </w:pPr>
      <w:rPr>
        <w:rFonts w:ascii="Arial" w:hAnsi="Arial" w:hint="default"/>
      </w:rPr>
    </w:lvl>
    <w:lvl w:ilvl="3" w:tplc="6DFCC7E2" w:tentative="1">
      <w:start w:val="1"/>
      <w:numFmt w:val="bullet"/>
      <w:lvlText w:val="•"/>
      <w:lvlJc w:val="left"/>
      <w:pPr>
        <w:tabs>
          <w:tab w:val="num" w:pos="2880"/>
        </w:tabs>
        <w:ind w:left="2880" w:hanging="360"/>
      </w:pPr>
      <w:rPr>
        <w:rFonts w:ascii="Arial" w:hAnsi="Arial" w:hint="default"/>
      </w:rPr>
    </w:lvl>
    <w:lvl w:ilvl="4" w:tplc="AE1AD092" w:tentative="1">
      <w:start w:val="1"/>
      <w:numFmt w:val="bullet"/>
      <w:lvlText w:val="•"/>
      <w:lvlJc w:val="left"/>
      <w:pPr>
        <w:tabs>
          <w:tab w:val="num" w:pos="3600"/>
        </w:tabs>
        <w:ind w:left="3600" w:hanging="360"/>
      </w:pPr>
      <w:rPr>
        <w:rFonts w:ascii="Arial" w:hAnsi="Arial" w:hint="default"/>
      </w:rPr>
    </w:lvl>
    <w:lvl w:ilvl="5" w:tplc="0B262C5A" w:tentative="1">
      <w:start w:val="1"/>
      <w:numFmt w:val="bullet"/>
      <w:lvlText w:val="•"/>
      <w:lvlJc w:val="left"/>
      <w:pPr>
        <w:tabs>
          <w:tab w:val="num" w:pos="4320"/>
        </w:tabs>
        <w:ind w:left="4320" w:hanging="360"/>
      </w:pPr>
      <w:rPr>
        <w:rFonts w:ascii="Arial" w:hAnsi="Arial" w:hint="default"/>
      </w:rPr>
    </w:lvl>
    <w:lvl w:ilvl="6" w:tplc="E53A794A" w:tentative="1">
      <w:start w:val="1"/>
      <w:numFmt w:val="bullet"/>
      <w:lvlText w:val="•"/>
      <w:lvlJc w:val="left"/>
      <w:pPr>
        <w:tabs>
          <w:tab w:val="num" w:pos="5040"/>
        </w:tabs>
        <w:ind w:left="5040" w:hanging="360"/>
      </w:pPr>
      <w:rPr>
        <w:rFonts w:ascii="Arial" w:hAnsi="Arial" w:hint="default"/>
      </w:rPr>
    </w:lvl>
    <w:lvl w:ilvl="7" w:tplc="A53A4DC2" w:tentative="1">
      <w:start w:val="1"/>
      <w:numFmt w:val="bullet"/>
      <w:lvlText w:val="•"/>
      <w:lvlJc w:val="left"/>
      <w:pPr>
        <w:tabs>
          <w:tab w:val="num" w:pos="5760"/>
        </w:tabs>
        <w:ind w:left="5760" w:hanging="360"/>
      </w:pPr>
      <w:rPr>
        <w:rFonts w:ascii="Arial" w:hAnsi="Arial" w:hint="default"/>
      </w:rPr>
    </w:lvl>
    <w:lvl w:ilvl="8" w:tplc="99BC34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56C104F"/>
    <w:multiLevelType w:val="hybridMultilevel"/>
    <w:tmpl w:val="CED8DE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64464C4"/>
    <w:multiLevelType w:val="hybridMultilevel"/>
    <w:tmpl w:val="E6F284F8"/>
    <w:lvl w:ilvl="0" w:tplc="B582D0A8">
      <w:start w:val="1"/>
      <w:numFmt w:val="bullet"/>
      <w:lvlText w:val="•"/>
      <w:lvlJc w:val="left"/>
      <w:pPr>
        <w:tabs>
          <w:tab w:val="num" w:pos="720"/>
        </w:tabs>
        <w:ind w:left="720" w:hanging="360"/>
      </w:pPr>
      <w:rPr>
        <w:rFonts w:ascii="Arial" w:hAnsi="Arial" w:hint="default"/>
      </w:rPr>
    </w:lvl>
    <w:lvl w:ilvl="1" w:tplc="3F54CAF2" w:tentative="1">
      <w:start w:val="1"/>
      <w:numFmt w:val="bullet"/>
      <w:lvlText w:val="•"/>
      <w:lvlJc w:val="left"/>
      <w:pPr>
        <w:tabs>
          <w:tab w:val="num" w:pos="1440"/>
        </w:tabs>
        <w:ind w:left="1440" w:hanging="360"/>
      </w:pPr>
      <w:rPr>
        <w:rFonts w:ascii="Arial" w:hAnsi="Arial" w:hint="default"/>
      </w:rPr>
    </w:lvl>
    <w:lvl w:ilvl="2" w:tplc="57F60812" w:tentative="1">
      <w:start w:val="1"/>
      <w:numFmt w:val="bullet"/>
      <w:lvlText w:val="•"/>
      <w:lvlJc w:val="left"/>
      <w:pPr>
        <w:tabs>
          <w:tab w:val="num" w:pos="2160"/>
        </w:tabs>
        <w:ind w:left="2160" w:hanging="360"/>
      </w:pPr>
      <w:rPr>
        <w:rFonts w:ascii="Arial" w:hAnsi="Arial" w:hint="default"/>
      </w:rPr>
    </w:lvl>
    <w:lvl w:ilvl="3" w:tplc="04EC3782" w:tentative="1">
      <w:start w:val="1"/>
      <w:numFmt w:val="bullet"/>
      <w:lvlText w:val="•"/>
      <w:lvlJc w:val="left"/>
      <w:pPr>
        <w:tabs>
          <w:tab w:val="num" w:pos="2880"/>
        </w:tabs>
        <w:ind w:left="2880" w:hanging="360"/>
      </w:pPr>
      <w:rPr>
        <w:rFonts w:ascii="Arial" w:hAnsi="Arial" w:hint="default"/>
      </w:rPr>
    </w:lvl>
    <w:lvl w:ilvl="4" w:tplc="F3A6C5BC" w:tentative="1">
      <w:start w:val="1"/>
      <w:numFmt w:val="bullet"/>
      <w:lvlText w:val="•"/>
      <w:lvlJc w:val="left"/>
      <w:pPr>
        <w:tabs>
          <w:tab w:val="num" w:pos="3600"/>
        </w:tabs>
        <w:ind w:left="3600" w:hanging="360"/>
      </w:pPr>
      <w:rPr>
        <w:rFonts w:ascii="Arial" w:hAnsi="Arial" w:hint="default"/>
      </w:rPr>
    </w:lvl>
    <w:lvl w:ilvl="5" w:tplc="52DEA67C" w:tentative="1">
      <w:start w:val="1"/>
      <w:numFmt w:val="bullet"/>
      <w:lvlText w:val="•"/>
      <w:lvlJc w:val="left"/>
      <w:pPr>
        <w:tabs>
          <w:tab w:val="num" w:pos="4320"/>
        </w:tabs>
        <w:ind w:left="4320" w:hanging="360"/>
      </w:pPr>
      <w:rPr>
        <w:rFonts w:ascii="Arial" w:hAnsi="Arial" w:hint="default"/>
      </w:rPr>
    </w:lvl>
    <w:lvl w:ilvl="6" w:tplc="65FA88BC" w:tentative="1">
      <w:start w:val="1"/>
      <w:numFmt w:val="bullet"/>
      <w:lvlText w:val="•"/>
      <w:lvlJc w:val="left"/>
      <w:pPr>
        <w:tabs>
          <w:tab w:val="num" w:pos="5040"/>
        </w:tabs>
        <w:ind w:left="5040" w:hanging="360"/>
      </w:pPr>
      <w:rPr>
        <w:rFonts w:ascii="Arial" w:hAnsi="Arial" w:hint="default"/>
      </w:rPr>
    </w:lvl>
    <w:lvl w:ilvl="7" w:tplc="275C5FA2" w:tentative="1">
      <w:start w:val="1"/>
      <w:numFmt w:val="bullet"/>
      <w:lvlText w:val="•"/>
      <w:lvlJc w:val="left"/>
      <w:pPr>
        <w:tabs>
          <w:tab w:val="num" w:pos="5760"/>
        </w:tabs>
        <w:ind w:left="5760" w:hanging="360"/>
      </w:pPr>
      <w:rPr>
        <w:rFonts w:ascii="Arial" w:hAnsi="Arial" w:hint="default"/>
      </w:rPr>
    </w:lvl>
    <w:lvl w:ilvl="8" w:tplc="2A22C7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0C672B"/>
    <w:multiLevelType w:val="hybridMultilevel"/>
    <w:tmpl w:val="79AC2A0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4F65283E"/>
    <w:multiLevelType w:val="hybridMultilevel"/>
    <w:tmpl w:val="363ABE84"/>
    <w:lvl w:ilvl="0" w:tplc="4A96E6A2">
      <w:start w:val="1"/>
      <w:numFmt w:val="bullet"/>
      <w:lvlText w:val="•"/>
      <w:lvlJc w:val="left"/>
      <w:pPr>
        <w:tabs>
          <w:tab w:val="num" w:pos="720"/>
        </w:tabs>
        <w:ind w:left="720" w:hanging="360"/>
      </w:pPr>
      <w:rPr>
        <w:rFonts w:ascii="Arial" w:hAnsi="Arial" w:hint="default"/>
      </w:rPr>
    </w:lvl>
    <w:lvl w:ilvl="1" w:tplc="792887C4" w:tentative="1">
      <w:start w:val="1"/>
      <w:numFmt w:val="bullet"/>
      <w:lvlText w:val="•"/>
      <w:lvlJc w:val="left"/>
      <w:pPr>
        <w:tabs>
          <w:tab w:val="num" w:pos="1440"/>
        </w:tabs>
        <w:ind w:left="1440" w:hanging="360"/>
      </w:pPr>
      <w:rPr>
        <w:rFonts w:ascii="Arial" w:hAnsi="Arial" w:hint="default"/>
      </w:rPr>
    </w:lvl>
    <w:lvl w:ilvl="2" w:tplc="084CCEE0" w:tentative="1">
      <w:start w:val="1"/>
      <w:numFmt w:val="bullet"/>
      <w:lvlText w:val="•"/>
      <w:lvlJc w:val="left"/>
      <w:pPr>
        <w:tabs>
          <w:tab w:val="num" w:pos="2160"/>
        </w:tabs>
        <w:ind w:left="2160" w:hanging="360"/>
      </w:pPr>
      <w:rPr>
        <w:rFonts w:ascii="Arial" w:hAnsi="Arial" w:hint="default"/>
      </w:rPr>
    </w:lvl>
    <w:lvl w:ilvl="3" w:tplc="EC5C163E" w:tentative="1">
      <w:start w:val="1"/>
      <w:numFmt w:val="bullet"/>
      <w:lvlText w:val="•"/>
      <w:lvlJc w:val="left"/>
      <w:pPr>
        <w:tabs>
          <w:tab w:val="num" w:pos="2880"/>
        </w:tabs>
        <w:ind w:left="2880" w:hanging="360"/>
      </w:pPr>
      <w:rPr>
        <w:rFonts w:ascii="Arial" w:hAnsi="Arial" w:hint="default"/>
      </w:rPr>
    </w:lvl>
    <w:lvl w:ilvl="4" w:tplc="BDB459DE" w:tentative="1">
      <w:start w:val="1"/>
      <w:numFmt w:val="bullet"/>
      <w:lvlText w:val="•"/>
      <w:lvlJc w:val="left"/>
      <w:pPr>
        <w:tabs>
          <w:tab w:val="num" w:pos="3600"/>
        </w:tabs>
        <w:ind w:left="3600" w:hanging="360"/>
      </w:pPr>
      <w:rPr>
        <w:rFonts w:ascii="Arial" w:hAnsi="Arial" w:hint="default"/>
      </w:rPr>
    </w:lvl>
    <w:lvl w:ilvl="5" w:tplc="30E40FDA" w:tentative="1">
      <w:start w:val="1"/>
      <w:numFmt w:val="bullet"/>
      <w:lvlText w:val="•"/>
      <w:lvlJc w:val="left"/>
      <w:pPr>
        <w:tabs>
          <w:tab w:val="num" w:pos="4320"/>
        </w:tabs>
        <w:ind w:left="4320" w:hanging="360"/>
      </w:pPr>
      <w:rPr>
        <w:rFonts w:ascii="Arial" w:hAnsi="Arial" w:hint="default"/>
      </w:rPr>
    </w:lvl>
    <w:lvl w:ilvl="6" w:tplc="61765D74" w:tentative="1">
      <w:start w:val="1"/>
      <w:numFmt w:val="bullet"/>
      <w:lvlText w:val="•"/>
      <w:lvlJc w:val="left"/>
      <w:pPr>
        <w:tabs>
          <w:tab w:val="num" w:pos="5040"/>
        </w:tabs>
        <w:ind w:left="5040" w:hanging="360"/>
      </w:pPr>
      <w:rPr>
        <w:rFonts w:ascii="Arial" w:hAnsi="Arial" w:hint="default"/>
      </w:rPr>
    </w:lvl>
    <w:lvl w:ilvl="7" w:tplc="98AC8242" w:tentative="1">
      <w:start w:val="1"/>
      <w:numFmt w:val="bullet"/>
      <w:lvlText w:val="•"/>
      <w:lvlJc w:val="left"/>
      <w:pPr>
        <w:tabs>
          <w:tab w:val="num" w:pos="5760"/>
        </w:tabs>
        <w:ind w:left="5760" w:hanging="360"/>
      </w:pPr>
      <w:rPr>
        <w:rFonts w:ascii="Arial" w:hAnsi="Arial" w:hint="default"/>
      </w:rPr>
    </w:lvl>
    <w:lvl w:ilvl="8" w:tplc="C1AED3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B137E7"/>
    <w:multiLevelType w:val="hybridMultilevel"/>
    <w:tmpl w:val="892E11A8"/>
    <w:lvl w:ilvl="0" w:tplc="D37E067E">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75CE7"/>
    <w:multiLevelType w:val="hybridMultilevel"/>
    <w:tmpl w:val="C53AFD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AB3DF8"/>
    <w:multiLevelType w:val="hybridMultilevel"/>
    <w:tmpl w:val="C960085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8DD3AC9"/>
    <w:multiLevelType w:val="hybridMultilevel"/>
    <w:tmpl w:val="D020E932"/>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72FE386F"/>
    <w:multiLevelType w:val="hybridMultilevel"/>
    <w:tmpl w:val="6AB06AB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5756B6C"/>
    <w:multiLevelType w:val="hybridMultilevel"/>
    <w:tmpl w:val="BEA8E67C"/>
    <w:lvl w:ilvl="0" w:tplc="07D0171A">
      <w:numFmt w:val="bullet"/>
      <w:lvlText w:val="-"/>
      <w:lvlJc w:val="left"/>
      <w:pPr>
        <w:ind w:left="1094" w:hanging="360"/>
      </w:pPr>
      <w:rPr>
        <w:rFonts w:ascii="Verdana" w:eastAsia="Times New Roman" w:hAnsi="Verdana" w:cs="Times New Roman"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8" w15:restartNumberingAfterBreak="0">
    <w:nsid w:val="7D0E4305"/>
    <w:multiLevelType w:val="hybridMultilevel"/>
    <w:tmpl w:val="1288669C"/>
    <w:lvl w:ilvl="0" w:tplc="A1746F1C">
      <w:start w:val="1"/>
      <w:numFmt w:val="decimal"/>
      <w:lvlText w:val="(%1)"/>
      <w:lvlJc w:val="left"/>
      <w:pPr>
        <w:ind w:left="1125" w:hanging="69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3"/>
  </w:num>
  <w:num w:numId="5">
    <w:abstractNumId w:val="4"/>
  </w:num>
  <w:num w:numId="6">
    <w:abstractNumId w:val="18"/>
  </w:num>
  <w:num w:numId="7">
    <w:abstractNumId w:val="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0"/>
  </w:num>
  <w:num w:numId="14">
    <w:abstractNumId w:val="8"/>
  </w:num>
  <w:num w:numId="15">
    <w:abstractNumId w:val="12"/>
  </w:num>
  <w:num w:numId="16">
    <w:abstractNumId w:val="11"/>
  </w:num>
  <w:num w:numId="17">
    <w:abstractNumId w:val="5"/>
  </w:num>
  <w:num w:numId="18">
    <w:abstractNumId w:val="9"/>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AAE"/>
    <w:rsid w:val="000430AC"/>
    <w:rsid w:val="00043B9D"/>
    <w:rsid w:val="00054625"/>
    <w:rsid w:val="0008004E"/>
    <w:rsid w:val="00087185"/>
    <w:rsid w:val="00090F0A"/>
    <w:rsid w:val="000A4362"/>
    <w:rsid w:val="000C15C3"/>
    <w:rsid w:val="000C2A46"/>
    <w:rsid w:val="000F3F5D"/>
    <w:rsid w:val="0010092D"/>
    <w:rsid w:val="001023A7"/>
    <w:rsid w:val="00144EDC"/>
    <w:rsid w:val="00172090"/>
    <w:rsid w:val="001B76D7"/>
    <w:rsid w:val="001C01D1"/>
    <w:rsid w:val="001F774F"/>
    <w:rsid w:val="002326B0"/>
    <w:rsid w:val="00263175"/>
    <w:rsid w:val="002A56E8"/>
    <w:rsid w:val="00323963"/>
    <w:rsid w:val="003273E5"/>
    <w:rsid w:val="00346EB9"/>
    <w:rsid w:val="003523E9"/>
    <w:rsid w:val="00366362"/>
    <w:rsid w:val="0039130D"/>
    <w:rsid w:val="003C2B2B"/>
    <w:rsid w:val="003F30E7"/>
    <w:rsid w:val="003F4326"/>
    <w:rsid w:val="00446C9A"/>
    <w:rsid w:val="004562B0"/>
    <w:rsid w:val="004A14C7"/>
    <w:rsid w:val="004C29CB"/>
    <w:rsid w:val="004D27CF"/>
    <w:rsid w:val="00506F9E"/>
    <w:rsid w:val="0053005D"/>
    <w:rsid w:val="005665A2"/>
    <w:rsid w:val="0057747F"/>
    <w:rsid w:val="005E40BD"/>
    <w:rsid w:val="005F1018"/>
    <w:rsid w:val="006579F1"/>
    <w:rsid w:val="00675E06"/>
    <w:rsid w:val="0067705A"/>
    <w:rsid w:val="00692BCE"/>
    <w:rsid w:val="006B734E"/>
    <w:rsid w:val="006C4BDB"/>
    <w:rsid w:val="006D2C37"/>
    <w:rsid w:val="006D787A"/>
    <w:rsid w:val="006E5445"/>
    <w:rsid w:val="006E68A4"/>
    <w:rsid w:val="0072035C"/>
    <w:rsid w:val="007557D4"/>
    <w:rsid w:val="007645F6"/>
    <w:rsid w:val="0078068D"/>
    <w:rsid w:val="007D6457"/>
    <w:rsid w:val="007F366B"/>
    <w:rsid w:val="007F6927"/>
    <w:rsid w:val="0086032D"/>
    <w:rsid w:val="00881A3A"/>
    <w:rsid w:val="008E6623"/>
    <w:rsid w:val="008F7044"/>
    <w:rsid w:val="00917525"/>
    <w:rsid w:val="00927472"/>
    <w:rsid w:val="009648D2"/>
    <w:rsid w:val="00966A9F"/>
    <w:rsid w:val="00974525"/>
    <w:rsid w:val="009B0DAF"/>
    <w:rsid w:val="009D4075"/>
    <w:rsid w:val="00A0607B"/>
    <w:rsid w:val="00A20B85"/>
    <w:rsid w:val="00A43176"/>
    <w:rsid w:val="00A77719"/>
    <w:rsid w:val="00A979B9"/>
    <w:rsid w:val="00AA6083"/>
    <w:rsid w:val="00AC09E6"/>
    <w:rsid w:val="00AC357A"/>
    <w:rsid w:val="00AE4E0D"/>
    <w:rsid w:val="00B506F9"/>
    <w:rsid w:val="00B56FFE"/>
    <w:rsid w:val="00B6051D"/>
    <w:rsid w:val="00B6523C"/>
    <w:rsid w:val="00B7130E"/>
    <w:rsid w:val="00B717C9"/>
    <w:rsid w:val="00B80DF4"/>
    <w:rsid w:val="00BB3F47"/>
    <w:rsid w:val="00BC5FF3"/>
    <w:rsid w:val="00BE07F7"/>
    <w:rsid w:val="00BE5F22"/>
    <w:rsid w:val="00C1206B"/>
    <w:rsid w:val="00C2260B"/>
    <w:rsid w:val="00C2469F"/>
    <w:rsid w:val="00C351C3"/>
    <w:rsid w:val="00C6501B"/>
    <w:rsid w:val="00C81D9E"/>
    <w:rsid w:val="00C87ACD"/>
    <w:rsid w:val="00CA16C0"/>
    <w:rsid w:val="00CA2B55"/>
    <w:rsid w:val="00CE3AFE"/>
    <w:rsid w:val="00CE4873"/>
    <w:rsid w:val="00CF2187"/>
    <w:rsid w:val="00D375A4"/>
    <w:rsid w:val="00D72ED5"/>
    <w:rsid w:val="00D92789"/>
    <w:rsid w:val="00DC0D5F"/>
    <w:rsid w:val="00DC213E"/>
    <w:rsid w:val="00DD5FAF"/>
    <w:rsid w:val="00DF6DF7"/>
    <w:rsid w:val="00E13C56"/>
    <w:rsid w:val="00E167EE"/>
    <w:rsid w:val="00E36AAE"/>
    <w:rsid w:val="00E40C94"/>
    <w:rsid w:val="00E70814"/>
    <w:rsid w:val="00E7302B"/>
    <w:rsid w:val="00E732AE"/>
    <w:rsid w:val="00F90AD7"/>
    <w:rsid w:val="00F9782E"/>
    <w:rsid w:val="00FA1564"/>
    <w:rsid w:val="00FB08FA"/>
    <w:rsid w:val="00FB5553"/>
    <w:rsid w:val="00FD74B7"/>
    <w:rsid w:val="00FF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69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6A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AAE"/>
    <w:pPr>
      <w:ind w:left="720"/>
      <w:contextualSpacing/>
    </w:pPr>
  </w:style>
  <w:style w:type="paragraph" w:customStyle="1" w:styleId="text-level11">
    <w:name w:val="text-level11"/>
    <w:basedOn w:val="Normal"/>
    <w:rsid w:val="00E36AAE"/>
    <w:pPr>
      <w:autoSpaceDE w:val="0"/>
      <w:autoSpaceDN w:val="0"/>
      <w:spacing w:before="100" w:beforeAutospacing="1" w:after="100" w:afterAutospacing="1"/>
      <w:ind w:left="734" w:right="734"/>
    </w:pPr>
    <w:rPr>
      <w:rFonts w:ascii="Verdana" w:hAnsi="Verdana"/>
      <w:color w:val="000000"/>
      <w:sz w:val="20"/>
      <w:szCs w:val="20"/>
    </w:rPr>
  </w:style>
  <w:style w:type="character" w:customStyle="1" w:styleId="apple-style-span">
    <w:name w:val="apple-style-span"/>
    <w:basedOn w:val="DefaultParagraphFont"/>
    <w:rsid w:val="00E36AAE"/>
  </w:style>
  <w:style w:type="character" w:customStyle="1" w:styleId="apple-converted-space">
    <w:name w:val="apple-converted-space"/>
    <w:basedOn w:val="DefaultParagraphFont"/>
    <w:rsid w:val="00E36AAE"/>
  </w:style>
  <w:style w:type="character" w:styleId="Emphasis">
    <w:name w:val="Emphasis"/>
    <w:basedOn w:val="DefaultParagraphFont"/>
    <w:uiPriority w:val="20"/>
    <w:qFormat/>
    <w:rsid w:val="00E36A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6</cp:revision>
  <dcterms:created xsi:type="dcterms:W3CDTF">2019-10-01T17:15:00Z</dcterms:created>
  <dcterms:modified xsi:type="dcterms:W3CDTF">2019-10-02T18:35:00Z</dcterms:modified>
</cp:coreProperties>
</file>