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176F" w14:textId="77777777" w:rsidR="00934FE0" w:rsidRDefault="00934FE0" w:rsidP="00934FE0">
      <w:pPr>
        <w:ind w:left="0"/>
        <w:rPr>
          <w:rFonts w:ascii="Times" w:hAnsi="Times"/>
          <w:b/>
          <w:color w:val="000000"/>
          <w:sz w:val="20"/>
          <w:szCs w:val="20"/>
        </w:rPr>
      </w:pPr>
    </w:p>
    <w:p w14:paraId="16846ABC" w14:textId="77777777" w:rsidR="00934FE0" w:rsidRDefault="00934FE0" w:rsidP="00934FE0">
      <w:pPr>
        <w:widowControl w:val="0"/>
        <w:autoSpaceDE w:val="0"/>
        <w:autoSpaceDN w:val="0"/>
        <w:adjustRightInd w:val="0"/>
        <w:rPr>
          <w:rFonts w:ascii="Times" w:hAnsi="Times"/>
          <w:sz w:val="20"/>
          <w:szCs w:val="20"/>
        </w:rPr>
      </w:pPr>
      <w:r>
        <w:rPr>
          <w:rFonts w:ascii="Times" w:hAnsi="Times"/>
          <w:b/>
          <w:sz w:val="20"/>
          <w:szCs w:val="20"/>
        </w:rPr>
        <w:t>Erie R.R. v. Tompkins</w:t>
      </w:r>
    </w:p>
    <w:p w14:paraId="70FF78B3" w14:textId="77777777" w:rsidR="00934FE0" w:rsidRPr="00C5414E" w:rsidRDefault="00934FE0" w:rsidP="00934FE0">
      <w:pPr>
        <w:widowControl w:val="0"/>
        <w:autoSpaceDE w:val="0"/>
        <w:autoSpaceDN w:val="0"/>
        <w:adjustRightInd w:val="0"/>
        <w:rPr>
          <w:rFonts w:ascii="Times" w:hAnsi="Times"/>
          <w:b/>
          <w:sz w:val="20"/>
          <w:szCs w:val="20"/>
        </w:rPr>
      </w:pPr>
      <w:r>
        <w:rPr>
          <w:rFonts w:ascii="Times" w:hAnsi="Times"/>
          <w:b/>
          <w:sz w:val="20"/>
          <w:szCs w:val="20"/>
        </w:rPr>
        <w:t xml:space="preserve"> Facts</w:t>
      </w:r>
    </w:p>
    <w:p w14:paraId="13C65308" w14:textId="77777777" w:rsidR="00934FE0" w:rsidRPr="00C5414E" w:rsidRDefault="00934FE0" w:rsidP="00934FE0">
      <w:pPr>
        <w:pStyle w:val="ListParagraph"/>
        <w:widowControl w:val="0"/>
        <w:numPr>
          <w:ilvl w:val="1"/>
          <w:numId w:val="3"/>
        </w:numPr>
        <w:autoSpaceDE w:val="0"/>
        <w:autoSpaceDN w:val="0"/>
        <w:adjustRightInd w:val="0"/>
        <w:spacing w:after="0"/>
        <w:rPr>
          <w:rFonts w:ascii="Times" w:hAnsi="Times"/>
          <w:b/>
          <w:sz w:val="20"/>
          <w:szCs w:val="20"/>
        </w:rPr>
      </w:pPr>
      <w:r>
        <w:rPr>
          <w:rFonts w:ascii="Times" w:hAnsi="Times"/>
          <w:sz w:val="20"/>
          <w:szCs w:val="20"/>
        </w:rPr>
        <w:t xml:space="preserve">Guy walking along rail road, gets hit by door </w:t>
      </w:r>
    </w:p>
    <w:p w14:paraId="3A6C11E1" w14:textId="77777777" w:rsidR="00934FE0" w:rsidRPr="00C5414E" w:rsidRDefault="00934FE0" w:rsidP="00934FE0">
      <w:pPr>
        <w:pStyle w:val="ListParagraph"/>
        <w:widowControl w:val="0"/>
        <w:numPr>
          <w:ilvl w:val="0"/>
          <w:numId w:val="3"/>
        </w:numPr>
        <w:autoSpaceDE w:val="0"/>
        <w:autoSpaceDN w:val="0"/>
        <w:adjustRightInd w:val="0"/>
        <w:spacing w:after="0"/>
        <w:rPr>
          <w:rFonts w:ascii="Times" w:hAnsi="Times"/>
          <w:b/>
          <w:sz w:val="20"/>
          <w:szCs w:val="20"/>
        </w:rPr>
      </w:pPr>
      <w:r>
        <w:rPr>
          <w:rFonts w:ascii="Times" w:hAnsi="Times"/>
          <w:b/>
          <w:sz w:val="20"/>
          <w:szCs w:val="20"/>
        </w:rPr>
        <w:t>Issue</w:t>
      </w:r>
    </w:p>
    <w:p w14:paraId="5EF6B283" w14:textId="77777777" w:rsidR="00934FE0" w:rsidRDefault="00934FE0" w:rsidP="00934FE0">
      <w:pPr>
        <w:pStyle w:val="ListParagraph"/>
        <w:widowControl w:val="0"/>
        <w:numPr>
          <w:ilvl w:val="1"/>
          <w:numId w:val="3"/>
        </w:numPr>
        <w:autoSpaceDE w:val="0"/>
        <w:autoSpaceDN w:val="0"/>
        <w:adjustRightInd w:val="0"/>
        <w:spacing w:after="0"/>
        <w:rPr>
          <w:rFonts w:ascii="Times" w:hAnsi="Times"/>
          <w:b/>
          <w:sz w:val="20"/>
          <w:szCs w:val="20"/>
        </w:rPr>
      </w:pPr>
      <w:r>
        <w:rPr>
          <w:rFonts w:ascii="Times" w:hAnsi="Times"/>
          <w:sz w:val="20"/>
          <w:szCs w:val="20"/>
        </w:rPr>
        <w:t>What level of duty is owed to trespasser</w:t>
      </w:r>
      <w:r w:rsidRPr="00C5414E">
        <w:rPr>
          <w:rFonts w:ascii="Times" w:hAnsi="Times"/>
          <w:sz w:val="20"/>
          <w:szCs w:val="20"/>
        </w:rPr>
        <w:sym w:font="Wingdings" w:char="F0E0"/>
      </w:r>
      <w:r>
        <w:rPr>
          <w:rFonts w:ascii="Times" w:hAnsi="Times"/>
          <w:sz w:val="20"/>
          <w:szCs w:val="20"/>
        </w:rPr>
        <w:t xml:space="preserve">matter of </w:t>
      </w:r>
      <w:r>
        <w:rPr>
          <w:rFonts w:ascii="Times" w:hAnsi="Times"/>
          <w:b/>
          <w:sz w:val="20"/>
          <w:szCs w:val="20"/>
        </w:rPr>
        <w:t xml:space="preserve">common law </w:t>
      </w:r>
    </w:p>
    <w:p w14:paraId="392B3A42" w14:textId="77777777" w:rsidR="00934FE0" w:rsidRPr="00C5414E" w:rsidRDefault="00934FE0" w:rsidP="00934FE0">
      <w:pPr>
        <w:pStyle w:val="ListParagraph"/>
        <w:widowControl w:val="0"/>
        <w:numPr>
          <w:ilvl w:val="1"/>
          <w:numId w:val="3"/>
        </w:numPr>
        <w:autoSpaceDE w:val="0"/>
        <w:autoSpaceDN w:val="0"/>
        <w:adjustRightInd w:val="0"/>
        <w:spacing w:after="0"/>
        <w:rPr>
          <w:rFonts w:ascii="Times" w:hAnsi="Times"/>
          <w:b/>
          <w:sz w:val="20"/>
          <w:szCs w:val="20"/>
        </w:rPr>
      </w:pPr>
      <w:r>
        <w:rPr>
          <w:rFonts w:ascii="Times" w:hAnsi="Times"/>
          <w:sz w:val="20"/>
          <w:szCs w:val="20"/>
        </w:rPr>
        <w:t xml:space="preserve">Whether there is negligence standard on R.R. or recklessness standard </w:t>
      </w:r>
    </w:p>
    <w:p w14:paraId="4A66DAAE" w14:textId="77777777" w:rsidR="00934FE0" w:rsidRDefault="00934FE0" w:rsidP="00934FE0">
      <w:pPr>
        <w:pStyle w:val="ListParagraph"/>
        <w:widowControl w:val="0"/>
        <w:numPr>
          <w:ilvl w:val="0"/>
          <w:numId w:val="3"/>
        </w:numPr>
        <w:autoSpaceDE w:val="0"/>
        <w:autoSpaceDN w:val="0"/>
        <w:adjustRightInd w:val="0"/>
        <w:spacing w:after="0"/>
        <w:rPr>
          <w:rFonts w:ascii="Times" w:hAnsi="Times"/>
          <w:b/>
          <w:sz w:val="20"/>
          <w:szCs w:val="20"/>
        </w:rPr>
      </w:pPr>
      <w:r>
        <w:rPr>
          <w:rFonts w:ascii="Times" w:hAnsi="Times"/>
          <w:b/>
          <w:sz w:val="20"/>
          <w:szCs w:val="20"/>
        </w:rPr>
        <w:t xml:space="preserve">Outcome </w:t>
      </w:r>
    </w:p>
    <w:p w14:paraId="66E023D8" w14:textId="5C132425" w:rsidR="00934FE0" w:rsidRPr="00C5414E" w:rsidRDefault="00934FE0" w:rsidP="00934FE0">
      <w:pPr>
        <w:pStyle w:val="ListParagraph"/>
        <w:widowControl w:val="0"/>
        <w:numPr>
          <w:ilvl w:val="1"/>
          <w:numId w:val="3"/>
        </w:numPr>
        <w:autoSpaceDE w:val="0"/>
        <w:autoSpaceDN w:val="0"/>
        <w:adjustRightInd w:val="0"/>
        <w:spacing w:after="0"/>
        <w:rPr>
          <w:rFonts w:ascii="Times" w:hAnsi="Times"/>
          <w:b/>
          <w:sz w:val="20"/>
          <w:szCs w:val="20"/>
        </w:rPr>
      </w:pPr>
      <w:r w:rsidRPr="00C5414E">
        <w:rPr>
          <w:rFonts w:ascii="Times" w:hAnsi="Times"/>
          <w:b/>
          <w:sz w:val="20"/>
          <w:szCs w:val="20"/>
        </w:rPr>
        <w:t>P</w:t>
      </w:r>
      <w:r>
        <w:rPr>
          <w:rFonts w:ascii="Times" w:hAnsi="Times"/>
          <w:b/>
          <w:sz w:val="20"/>
          <w:szCs w:val="20"/>
        </w:rPr>
        <w:t>re-</w:t>
      </w:r>
      <w:r w:rsidRPr="00C5414E">
        <w:rPr>
          <w:rFonts w:ascii="Times" w:hAnsi="Times"/>
          <w:b/>
          <w:sz w:val="20"/>
          <w:szCs w:val="20"/>
        </w:rPr>
        <w:t>Erie:</w:t>
      </w:r>
      <w:r w:rsidR="00133F1C">
        <w:rPr>
          <w:rFonts w:ascii="Times" w:hAnsi="Times"/>
          <w:sz w:val="20"/>
          <w:szCs w:val="20"/>
        </w:rPr>
        <w:t xml:space="preserve"> Would treat as matter of general common law</w:t>
      </w:r>
      <w:r>
        <w:rPr>
          <w:rFonts w:ascii="Times" w:hAnsi="Times"/>
          <w:sz w:val="20"/>
          <w:szCs w:val="20"/>
        </w:rPr>
        <w:t xml:space="preserve"> and not defer to Pennsylvania courts</w:t>
      </w:r>
    </w:p>
    <w:p w14:paraId="3FCBFF1E" w14:textId="77777777" w:rsidR="00934FE0" w:rsidRPr="00C5414E" w:rsidRDefault="00934FE0" w:rsidP="00934FE0">
      <w:pPr>
        <w:pStyle w:val="ListParagraph"/>
        <w:widowControl w:val="0"/>
        <w:numPr>
          <w:ilvl w:val="1"/>
          <w:numId w:val="3"/>
        </w:numPr>
        <w:autoSpaceDE w:val="0"/>
        <w:autoSpaceDN w:val="0"/>
        <w:adjustRightInd w:val="0"/>
        <w:spacing w:after="0"/>
        <w:rPr>
          <w:rFonts w:ascii="Times" w:hAnsi="Times"/>
          <w:b/>
          <w:sz w:val="20"/>
          <w:szCs w:val="20"/>
        </w:rPr>
      </w:pPr>
      <w:r w:rsidRPr="00C5414E">
        <w:rPr>
          <w:rFonts w:ascii="Times" w:hAnsi="Times"/>
          <w:b/>
          <w:sz w:val="20"/>
          <w:szCs w:val="20"/>
        </w:rPr>
        <w:t>Post Erie:</w:t>
      </w:r>
      <w:r>
        <w:rPr>
          <w:rFonts w:ascii="Times" w:hAnsi="Times"/>
          <w:sz w:val="20"/>
          <w:szCs w:val="20"/>
        </w:rPr>
        <w:t xml:space="preserve"> refer Pennsylvania common law as PA courts would interpret it </w:t>
      </w:r>
    </w:p>
    <w:p w14:paraId="10070016" w14:textId="77777777" w:rsidR="00934FE0" w:rsidRPr="00AE6788" w:rsidRDefault="00934FE0" w:rsidP="00934FE0">
      <w:pPr>
        <w:pStyle w:val="ListParagraph"/>
        <w:widowControl w:val="0"/>
        <w:numPr>
          <w:ilvl w:val="0"/>
          <w:numId w:val="2"/>
        </w:numPr>
        <w:autoSpaceDE w:val="0"/>
        <w:autoSpaceDN w:val="0"/>
        <w:adjustRightInd w:val="0"/>
        <w:spacing w:after="0"/>
        <w:rPr>
          <w:rFonts w:ascii="Times" w:hAnsi="Times"/>
          <w:b/>
          <w:color w:val="000000"/>
          <w:sz w:val="20"/>
          <w:szCs w:val="20"/>
        </w:rPr>
      </w:pPr>
      <w:r>
        <w:rPr>
          <w:rFonts w:ascii="Times" w:hAnsi="Times"/>
          <w:color w:val="000000"/>
          <w:sz w:val="20"/>
          <w:szCs w:val="20"/>
        </w:rPr>
        <w:t>Not just with respect to statutes and local usages, but for all common law, we refer to what the state’s courts say about the common law in their state</w:t>
      </w:r>
    </w:p>
    <w:p w14:paraId="779B0BD4" w14:textId="77777777" w:rsidR="00934FE0" w:rsidRDefault="00934FE0" w:rsidP="00934FE0">
      <w:pPr>
        <w:pStyle w:val="ListParagraph"/>
        <w:widowControl w:val="0"/>
        <w:numPr>
          <w:ilvl w:val="0"/>
          <w:numId w:val="2"/>
        </w:numPr>
        <w:autoSpaceDE w:val="0"/>
        <w:autoSpaceDN w:val="0"/>
        <w:adjustRightInd w:val="0"/>
        <w:spacing w:after="0"/>
        <w:rPr>
          <w:rFonts w:ascii="Times" w:hAnsi="Times"/>
          <w:b/>
          <w:color w:val="000000"/>
          <w:sz w:val="20"/>
          <w:szCs w:val="20"/>
        </w:rPr>
      </w:pPr>
      <w:r>
        <w:rPr>
          <w:rFonts w:ascii="Times" w:hAnsi="Times"/>
          <w:b/>
          <w:color w:val="000000"/>
          <w:sz w:val="20"/>
          <w:szCs w:val="20"/>
        </w:rPr>
        <w:t xml:space="preserve">3 Justifications for conclusion offered by Brandeis in Erie: </w:t>
      </w:r>
    </w:p>
    <w:p w14:paraId="1221BAEE" w14:textId="77777777" w:rsidR="00934FE0" w:rsidRPr="002D4D44" w:rsidRDefault="00934FE0" w:rsidP="00934FE0">
      <w:pPr>
        <w:pStyle w:val="ListParagraph"/>
        <w:widowControl w:val="0"/>
        <w:numPr>
          <w:ilvl w:val="1"/>
          <w:numId w:val="2"/>
        </w:numPr>
        <w:autoSpaceDE w:val="0"/>
        <w:autoSpaceDN w:val="0"/>
        <w:adjustRightInd w:val="0"/>
        <w:spacing w:after="0"/>
        <w:rPr>
          <w:rFonts w:ascii="Times" w:hAnsi="Times"/>
          <w:sz w:val="20"/>
          <w:szCs w:val="20"/>
        </w:rPr>
      </w:pPr>
      <w:r>
        <w:rPr>
          <w:rFonts w:ascii="Times" w:hAnsi="Times"/>
          <w:color w:val="000000"/>
          <w:sz w:val="20"/>
          <w:szCs w:val="20"/>
        </w:rPr>
        <w:t>(1) “</w:t>
      </w:r>
      <w:r>
        <w:rPr>
          <w:rFonts w:ascii="Times" w:hAnsi="Times"/>
          <w:sz w:val="20"/>
          <w:szCs w:val="20"/>
        </w:rPr>
        <w:t xml:space="preserve">Laws” in RDA means all laws including all common law —statutory solution, </w:t>
      </w:r>
    </w:p>
    <w:p w14:paraId="330CFA21" w14:textId="77777777" w:rsidR="00934FE0" w:rsidRPr="002D4D44" w:rsidRDefault="00934FE0" w:rsidP="00934FE0">
      <w:pPr>
        <w:pStyle w:val="ListParagraph"/>
        <w:widowControl w:val="0"/>
        <w:numPr>
          <w:ilvl w:val="1"/>
          <w:numId w:val="2"/>
        </w:numPr>
        <w:autoSpaceDE w:val="0"/>
        <w:autoSpaceDN w:val="0"/>
        <w:adjustRightInd w:val="0"/>
        <w:spacing w:after="0"/>
        <w:rPr>
          <w:rFonts w:ascii="Times" w:hAnsi="Times"/>
          <w:sz w:val="20"/>
          <w:szCs w:val="20"/>
        </w:rPr>
      </w:pPr>
      <w:r>
        <w:rPr>
          <w:rFonts w:ascii="Times" w:hAnsi="Times"/>
          <w:color w:val="000000"/>
          <w:sz w:val="20"/>
          <w:szCs w:val="20"/>
        </w:rPr>
        <w:t xml:space="preserve">(2) </w:t>
      </w:r>
      <w:r w:rsidRPr="00AE6788">
        <w:rPr>
          <w:rFonts w:ascii="Times" w:hAnsi="Times"/>
          <w:color w:val="000000"/>
          <w:sz w:val="20"/>
          <w:szCs w:val="20"/>
        </w:rPr>
        <w:t>Swift was bad because you could get different decisi</w:t>
      </w:r>
      <w:r>
        <w:rPr>
          <w:rFonts w:ascii="Times" w:hAnsi="Times"/>
          <w:color w:val="000000"/>
          <w:sz w:val="20"/>
          <w:szCs w:val="20"/>
        </w:rPr>
        <w:t>on with</w:t>
      </w:r>
      <w:r w:rsidRPr="00AE6788">
        <w:rPr>
          <w:rFonts w:ascii="Times" w:hAnsi="Times"/>
          <w:color w:val="000000"/>
          <w:sz w:val="20"/>
          <w:szCs w:val="20"/>
        </w:rPr>
        <w:t xml:space="preserve"> vertical </w:t>
      </w:r>
      <w:r>
        <w:rPr>
          <w:rFonts w:ascii="Times" w:hAnsi="Times"/>
          <w:color w:val="000000"/>
          <w:sz w:val="20"/>
          <w:szCs w:val="20"/>
        </w:rPr>
        <w:t>forum shopping</w:t>
      </w:r>
      <w:r w:rsidRPr="00AE6788">
        <w:rPr>
          <w:rFonts w:ascii="Times" w:hAnsi="Times"/>
          <w:color w:val="000000"/>
          <w:sz w:val="20"/>
          <w:szCs w:val="20"/>
        </w:rPr>
        <w:t xml:space="preserve">. </w:t>
      </w:r>
      <w:proofErr w:type="gramStart"/>
      <w:r w:rsidRPr="00AE6788">
        <w:rPr>
          <w:rFonts w:ascii="Times" w:hAnsi="Times"/>
          <w:color w:val="000000"/>
          <w:sz w:val="20"/>
          <w:szCs w:val="20"/>
        </w:rPr>
        <w:t>So</w:t>
      </w:r>
      <w:proofErr w:type="gramEnd"/>
      <w:r w:rsidRPr="00AE6788">
        <w:rPr>
          <w:rFonts w:ascii="Times" w:hAnsi="Times"/>
          <w:color w:val="000000"/>
          <w:sz w:val="20"/>
          <w:szCs w:val="20"/>
        </w:rPr>
        <w:t xml:space="preserve"> Erie fixes this by creating vertical uniformity between federal and </w:t>
      </w:r>
      <w:r>
        <w:rPr>
          <w:rFonts w:ascii="Times" w:hAnsi="Times"/>
          <w:color w:val="000000"/>
          <w:sz w:val="20"/>
          <w:szCs w:val="20"/>
        </w:rPr>
        <w:t xml:space="preserve">forum </w:t>
      </w:r>
      <w:r w:rsidRPr="00AE6788">
        <w:rPr>
          <w:rFonts w:ascii="Times" w:hAnsi="Times"/>
          <w:color w:val="000000"/>
          <w:sz w:val="20"/>
          <w:szCs w:val="20"/>
        </w:rPr>
        <w:t xml:space="preserve">state courts. </w:t>
      </w:r>
    </w:p>
    <w:p w14:paraId="13E48A46" w14:textId="77777777" w:rsidR="00934FE0" w:rsidRPr="002D4D44" w:rsidRDefault="00934FE0" w:rsidP="00934FE0">
      <w:pPr>
        <w:pStyle w:val="ListParagraph"/>
        <w:widowControl w:val="0"/>
        <w:numPr>
          <w:ilvl w:val="2"/>
          <w:numId w:val="2"/>
        </w:numPr>
        <w:autoSpaceDE w:val="0"/>
        <w:autoSpaceDN w:val="0"/>
        <w:adjustRightInd w:val="0"/>
        <w:spacing w:after="0"/>
        <w:rPr>
          <w:rFonts w:ascii="Times" w:hAnsi="Times"/>
          <w:sz w:val="20"/>
          <w:szCs w:val="20"/>
        </w:rPr>
      </w:pPr>
      <w:r>
        <w:rPr>
          <w:rFonts w:ascii="Times" w:hAnsi="Times"/>
          <w:sz w:val="20"/>
          <w:szCs w:val="20"/>
        </w:rPr>
        <w:t xml:space="preserve">in </w:t>
      </w:r>
      <w:proofErr w:type="spellStart"/>
      <w:r>
        <w:rPr>
          <w:rFonts w:ascii="Times" w:hAnsi="Times"/>
          <w:sz w:val="20"/>
          <w:szCs w:val="20"/>
        </w:rPr>
        <w:t>Blck</w:t>
      </w:r>
      <w:proofErr w:type="spellEnd"/>
      <w:r>
        <w:rPr>
          <w:rFonts w:ascii="Times" w:hAnsi="Times"/>
          <w:sz w:val="20"/>
          <w:szCs w:val="20"/>
        </w:rPr>
        <w:t xml:space="preserve"> &amp; White Taxicab </w:t>
      </w:r>
      <w:r w:rsidRPr="002D4D44">
        <w:rPr>
          <w:rFonts w:ascii="Times" w:hAnsi="Times"/>
          <w:sz w:val="20"/>
          <w:szCs w:val="20"/>
        </w:rPr>
        <w:t>Out of state litigants lose their advantage of diversity by being able to cho</w:t>
      </w:r>
      <w:r>
        <w:rPr>
          <w:rFonts w:ascii="Times" w:hAnsi="Times"/>
          <w:sz w:val="20"/>
          <w:szCs w:val="20"/>
        </w:rPr>
        <w:t>o</w:t>
      </w:r>
      <w:r w:rsidRPr="002D4D44">
        <w:rPr>
          <w:rFonts w:ascii="Times" w:hAnsi="Times"/>
          <w:sz w:val="20"/>
          <w:szCs w:val="20"/>
        </w:rPr>
        <w:t>se between federal and state that two Kentuckians would not get</w:t>
      </w:r>
    </w:p>
    <w:p w14:paraId="41996171" w14:textId="444B9275" w:rsidR="00934FE0" w:rsidRPr="002D4D44" w:rsidRDefault="00934FE0" w:rsidP="00934FE0">
      <w:pPr>
        <w:pStyle w:val="ListParagraph"/>
        <w:widowControl w:val="0"/>
        <w:numPr>
          <w:ilvl w:val="1"/>
          <w:numId w:val="2"/>
        </w:numPr>
        <w:autoSpaceDE w:val="0"/>
        <w:autoSpaceDN w:val="0"/>
        <w:adjustRightInd w:val="0"/>
        <w:spacing w:after="0"/>
        <w:rPr>
          <w:rFonts w:ascii="Times" w:hAnsi="Times"/>
          <w:sz w:val="20"/>
          <w:szCs w:val="20"/>
        </w:rPr>
      </w:pPr>
      <w:r>
        <w:rPr>
          <w:rFonts w:ascii="Times" w:hAnsi="Times"/>
          <w:sz w:val="20"/>
          <w:szCs w:val="20"/>
        </w:rPr>
        <w:t xml:space="preserve">(3) </w:t>
      </w:r>
      <w:r w:rsidRPr="002D4D44">
        <w:rPr>
          <w:rFonts w:ascii="Times" w:hAnsi="Times"/>
          <w:sz w:val="20"/>
          <w:szCs w:val="20"/>
        </w:rPr>
        <w:t>Swift v. Tyson is unconstitutional</w:t>
      </w:r>
      <w:r w:rsidRPr="00651E14">
        <w:sym w:font="Wingdings" w:char="F0E0"/>
      </w:r>
      <w:r w:rsidR="00133F1C">
        <w:rPr>
          <w:rFonts w:ascii="Times" w:hAnsi="Times"/>
          <w:b/>
          <w:sz w:val="20"/>
          <w:szCs w:val="20"/>
        </w:rPr>
        <w:t>G</w:t>
      </w:r>
      <w:r w:rsidRPr="002D4D44">
        <w:rPr>
          <w:rFonts w:ascii="Times" w:hAnsi="Times"/>
          <w:b/>
          <w:sz w:val="20"/>
          <w:szCs w:val="20"/>
        </w:rPr>
        <w:t xml:space="preserve">reen says wrong </w:t>
      </w:r>
    </w:p>
    <w:p w14:paraId="343C06DD" w14:textId="77777777" w:rsidR="00934FE0" w:rsidRDefault="00934FE0" w:rsidP="00934FE0">
      <w:pPr>
        <w:pStyle w:val="ListParagraph"/>
        <w:widowControl w:val="0"/>
        <w:numPr>
          <w:ilvl w:val="2"/>
          <w:numId w:val="2"/>
        </w:numPr>
        <w:autoSpaceDE w:val="0"/>
        <w:autoSpaceDN w:val="0"/>
        <w:adjustRightInd w:val="0"/>
        <w:spacing w:after="0"/>
        <w:rPr>
          <w:rFonts w:ascii="Times" w:hAnsi="Times"/>
          <w:sz w:val="20"/>
          <w:szCs w:val="20"/>
        </w:rPr>
      </w:pPr>
      <w:r>
        <w:rPr>
          <w:rFonts w:ascii="Times" w:hAnsi="Times"/>
          <w:sz w:val="20"/>
          <w:szCs w:val="20"/>
        </w:rPr>
        <w:t xml:space="preserve">Problems with this reason: under Swift federal courts were doing what the states want them to do so how is this </w:t>
      </w:r>
      <w:proofErr w:type="gramStart"/>
      <w:r>
        <w:rPr>
          <w:rFonts w:ascii="Times" w:hAnsi="Times"/>
          <w:sz w:val="20"/>
          <w:szCs w:val="20"/>
        </w:rPr>
        <w:t>wrong?</w:t>
      </w:r>
      <w:proofErr w:type="gramEnd"/>
      <w:r>
        <w:rPr>
          <w:rFonts w:ascii="Times" w:hAnsi="Times"/>
          <w:sz w:val="20"/>
          <w:szCs w:val="20"/>
        </w:rPr>
        <w:t xml:space="preserve"> State courts expected federal courts to come to an independent judgment about the general common law in their state.</w:t>
      </w:r>
    </w:p>
    <w:p w14:paraId="1BFDE178" w14:textId="77777777" w:rsidR="00934FE0" w:rsidRPr="00187523" w:rsidRDefault="00934FE0" w:rsidP="00934FE0">
      <w:pPr>
        <w:pStyle w:val="ListParagraph"/>
        <w:widowControl w:val="0"/>
        <w:numPr>
          <w:ilvl w:val="0"/>
          <w:numId w:val="2"/>
        </w:numPr>
        <w:autoSpaceDE w:val="0"/>
        <w:autoSpaceDN w:val="0"/>
        <w:adjustRightInd w:val="0"/>
        <w:spacing w:after="0"/>
        <w:rPr>
          <w:color w:val="000000"/>
          <w:sz w:val="20"/>
          <w:szCs w:val="20"/>
        </w:rPr>
      </w:pPr>
      <w:r w:rsidRPr="00187523">
        <w:rPr>
          <w:rFonts w:ascii="Times" w:hAnsi="Times"/>
          <w:b/>
          <w:sz w:val="20"/>
          <w:szCs w:val="20"/>
        </w:rPr>
        <w:t xml:space="preserve">Upshot of </w:t>
      </w:r>
      <w:r w:rsidRPr="00187523">
        <w:rPr>
          <w:b/>
          <w:sz w:val="20"/>
          <w:szCs w:val="20"/>
        </w:rPr>
        <w:t xml:space="preserve">Erie: </w:t>
      </w:r>
      <w:r w:rsidRPr="00187523">
        <w:rPr>
          <w:color w:val="000000"/>
          <w:sz w:val="20"/>
          <w:szCs w:val="20"/>
        </w:rPr>
        <w:t>When entertaining a state law cause of action (e.g. in diversity, supplemental jurisdiction) the federal court should apply state law as interpreted by that state’s courts . . . this applies to common law cases too!</w:t>
      </w:r>
    </w:p>
    <w:p w14:paraId="75BF8BD6" w14:textId="77777777" w:rsidR="00934FE0" w:rsidRDefault="00934FE0" w:rsidP="00934FE0">
      <w:pPr>
        <w:widowControl w:val="0"/>
        <w:autoSpaceDE w:val="0"/>
        <w:autoSpaceDN w:val="0"/>
        <w:adjustRightInd w:val="0"/>
        <w:rPr>
          <w:b/>
          <w:color w:val="000000"/>
          <w:sz w:val="20"/>
          <w:szCs w:val="20"/>
        </w:rPr>
      </w:pPr>
    </w:p>
    <w:p w14:paraId="50648960" w14:textId="77777777" w:rsidR="00934FE0" w:rsidRDefault="00934FE0" w:rsidP="00934FE0">
      <w:pPr>
        <w:widowControl w:val="0"/>
        <w:autoSpaceDE w:val="0"/>
        <w:autoSpaceDN w:val="0"/>
        <w:adjustRightInd w:val="0"/>
        <w:rPr>
          <w:b/>
          <w:color w:val="000000"/>
          <w:sz w:val="20"/>
          <w:szCs w:val="20"/>
        </w:rPr>
      </w:pPr>
      <w:r>
        <w:rPr>
          <w:b/>
          <w:color w:val="000000"/>
          <w:sz w:val="20"/>
          <w:szCs w:val="20"/>
        </w:rPr>
        <w:t>In Light of Erie, how do We Interpret State Law?</w:t>
      </w:r>
    </w:p>
    <w:p w14:paraId="3BF712CC" w14:textId="77777777" w:rsidR="00934FE0" w:rsidRPr="00B96992" w:rsidRDefault="00934FE0" w:rsidP="00934FE0">
      <w:pPr>
        <w:pStyle w:val="ListParagraph"/>
        <w:widowControl w:val="0"/>
        <w:numPr>
          <w:ilvl w:val="0"/>
          <w:numId w:val="4"/>
        </w:numPr>
        <w:autoSpaceDE w:val="0"/>
        <w:autoSpaceDN w:val="0"/>
        <w:adjustRightInd w:val="0"/>
        <w:spacing w:after="0"/>
        <w:rPr>
          <w:b/>
          <w:color w:val="000000"/>
          <w:sz w:val="20"/>
          <w:szCs w:val="20"/>
        </w:rPr>
      </w:pPr>
      <w:r>
        <w:rPr>
          <w:color w:val="000000"/>
          <w:sz w:val="20"/>
          <w:szCs w:val="20"/>
        </w:rPr>
        <w:t xml:space="preserve">Binding nature of state decisions in the state court system </w:t>
      </w:r>
    </w:p>
    <w:p w14:paraId="1098FDAB" w14:textId="77777777" w:rsidR="00934FE0" w:rsidRPr="00B96992" w:rsidRDefault="00934FE0" w:rsidP="00934FE0">
      <w:pPr>
        <w:pStyle w:val="ListParagraph"/>
        <w:widowControl w:val="0"/>
        <w:numPr>
          <w:ilvl w:val="1"/>
          <w:numId w:val="4"/>
        </w:numPr>
        <w:autoSpaceDE w:val="0"/>
        <w:autoSpaceDN w:val="0"/>
        <w:adjustRightInd w:val="0"/>
        <w:spacing w:after="0"/>
        <w:rPr>
          <w:b/>
          <w:color w:val="000000"/>
          <w:sz w:val="20"/>
          <w:szCs w:val="20"/>
        </w:rPr>
      </w:pPr>
      <w:r>
        <w:rPr>
          <w:color w:val="000000"/>
          <w:sz w:val="20"/>
          <w:szCs w:val="20"/>
        </w:rPr>
        <w:t xml:space="preserve">New decision announced by VA trial court </w:t>
      </w:r>
    </w:p>
    <w:p w14:paraId="58484FA1" w14:textId="77777777" w:rsidR="00934FE0" w:rsidRPr="00430D5B" w:rsidRDefault="00934FE0" w:rsidP="00934FE0">
      <w:pPr>
        <w:pStyle w:val="ListParagraph"/>
        <w:widowControl w:val="0"/>
        <w:numPr>
          <w:ilvl w:val="2"/>
          <w:numId w:val="4"/>
        </w:numPr>
        <w:autoSpaceDE w:val="0"/>
        <w:autoSpaceDN w:val="0"/>
        <w:adjustRightInd w:val="0"/>
        <w:spacing w:after="0"/>
        <w:rPr>
          <w:b/>
          <w:color w:val="000000"/>
          <w:sz w:val="20"/>
          <w:szCs w:val="20"/>
        </w:rPr>
      </w:pPr>
      <w:r w:rsidRPr="001673EE">
        <w:rPr>
          <w:b/>
          <w:color w:val="000000"/>
          <w:sz w:val="20"/>
          <w:szCs w:val="20"/>
        </w:rPr>
        <w:t>Not binding authority anywhere</w:t>
      </w:r>
      <w:r w:rsidRPr="00B96992">
        <w:rPr>
          <w:color w:val="000000"/>
          <w:sz w:val="20"/>
          <w:szCs w:val="20"/>
        </w:rPr>
        <w:sym w:font="Wingdings" w:char="F0E0"/>
      </w:r>
      <w:r>
        <w:rPr>
          <w:color w:val="000000"/>
          <w:sz w:val="20"/>
          <w:szCs w:val="20"/>
        </w:rPr>
        <w:t>nobody is obligated to respect that opinion, not even that same VA trial court</w:t>
      </w:r>
    </w:p>
    <w:p w14:paraId="6923AA67" w14:textId="77777777" w:rsidR="00934FE0" w:rsidRPr="00B96992" w:rsidRDefault="00934FE0" w:rsidP="00934FE0">
      <w:pPr>
        <w:pStyle w:val="ListParagraph"/>
        <w:widowControl w:val="0"/>
        <w:numPr>
          <w:ilvl w:val="2"/>
          <w:numId w:val="4"/>
        </w:numPr>
        <w:autoSpaceDE w:val="0"/>
        <w:autoSpaceDN w:val="0"/>
        <w:adjustRightInd w:val="0"/>
        <w:spacing w:after="0"/>
        <w:rPr>
          <w:b/>
          <w:color w:val="000000"/>
          <w:sz w:val="20"/>
          <w:szCs w:val="20"/>
        </w:rPr>
      </w:pPr>
      <w:r>
        <w:rPr>
          <w:b/>
          <w:color w:val="000000"/>
          <w:sz w:val="20"/>
          <w:szCs w:val="20"/>
        </w:rPr>
        <w:t>s</w:t>
      </w:r>
      <w:r>
        <w:rPr>
          <w:color w:val="000000"/>
          <w:sz w:val="20"/>
          <w:szCs w:val="20"/>
        </w:rPr>
        <w:t xml:space="preserve">trong precedential value for another VA trial court </w:t>
      </w:r>
    </w:p>
    <w:p w14:paraId="184D263C" w14:textId="77777777" w:rsidR="00934FE0" w:rsidRPr="00B96992" w:rsidRDefault="00934FE0" w:rsidP="00934FE0">
      <w:pPr>
        <w:pStyle w:val="ListParagraph"/>
        <w:widowControl w:val="0"/>
        <w:numPr>
          <w:ilvl w:val="3"/>
          <w:numId w:val="4"/>
        </w:numPr>
        <w:autoSpaceDE w:val="0"/>
        <w:autoSpaceDN w:val="0"/>
        <w:adjustRightInd w:val="0"/>
        <w:spacing w:after="0"/>
        <w:rPr>
          <w:b/>
          <w:color w:val="000000"/>
          <w:sz w:val="20"/>
          <w:szCs w:val="20"/>
        </w:rPr>
      </w:pPr>
      <w:r>
        <w:rPr>
          <w:color w:val="000000"/>
          <w:sz w:val="20"/>
          <w:szCs w:val="20"/>
        </w:rPr>
        <w:t xml:space="preserve">but they </w:t>
      </w:r>
      <w:r w:rsidRPr="001673EE">
        <w:rPr>
          <w:b/>
          <w:color w:val="000000"/>
          <w:sz w:val="20"/>
          <w:szCs w:val="20"/>
        </w:rPr>
        <w:t>can overrule</w:t>
      </w:r>
      <w:r>
        <w:rPr>
          <w:color w:val="000000"/>
          <w:sz w:val="20"/>
          <w:szCs w:val="20"/>
        </w:rPr>
        <w:t xml:space="preserve"> themselves</w:t>
      </w:r>
    </w:p>
    <w:p w14:paraId="62C08617" w14:textId="77777777" w:rsidR="00934FE0" w:rsidRPr="00CF7453" w:rsidRDefault="00934FE0" w:rsidP="00934FE0">
      <w:pPr>
        <w:pStyle w:val="ListParagraph"/>
        <w:widowControl w:val="0"/>
        <w:numPr>
          <w:ilvl w:val="2"/>
          <w:numId w:val="4"/>
        </w:numPr>
        <w:autoSpaceDE w:val="0"/>
        <w:autoSpaceDN w:val="0"/>
        <w:adjustRightInd w:val="0"/>
        <w:spacing w:after="0"/>
        <w:rPr>
          <w:b/>
          <w:color w:val="000000"/>
          <w:sz w:val="20"/>
          <w:szCs w:val="20"/>
        </w:rPr>
      </w:pPr>
      <w:r>
        <w:rPr>
          <w:color w:val="000000"/>
          <w:sz w:val="20"/>
          <w:szCs w:val="20"/>
        </w:rPr>
        <w:t xml:space="preserve">A mere source of arguments for </w:t>
      </w:r>
      <w:proofErr w:type="spellStart"/>
      <w:r w:rsidRPr="00430D5B">
        <w:rPr>
          <w:color w:val="000000"/>
          <w:sz w:val="20"/>
          <w:szCs w:val="20"/>
        </w:rPr>
        <w:t>Va</w:t>
      </w:r>
      <w:proofErr w:type="spellEnd"/>
      <w:r w:rsidRPr="00430D5B">
        <w:rPr>
          <w:color w:val="000000"/>
          <w:sz w:val="20"/>
          <w:szCs w:val="20"/>
        </w:rPr>
        <w:t xml:space="preserve"> Ct App or the </w:t>
      </w:r>
      <w:proofErr w:type="spellStart"/>
      <w:r w:rsidRPr="00430D5B">
        <w:rPr>
          <w:color w:val="000000"/>
          <w:sz w:val="20"/>
          <w:szCs w:val="20"/>
        </w:rPr>
        <w:t>Va</w:t>
      </w:r>
      <w:proofErr w:type="spellEnd"/>
      <w:r w:rsidRPr="00430D5B">
        <w:rPr>
          <w:color w:val="000000"/>
          <w:sz w:val="20"/>
          <w:szCs w:val="20"/>
        </w:rPr>
        <w:t xml:space="preserve"> Supreme Court</w:t>
      </w:r>
      <w:r>
        <w:rPr>
          <w:color w:val="000000"/>
          <w:sz w:val="20"/>
          <w:szCs w:val="20"/>
        </w:rPr>
        <w:t xml:space="preserve"> </w:t>
      </w:r>
    </w:p>
    <w:p w14:paraId="0EE50656" w14:textId="77777777" w:rsidR="00934FE0" w:rsidRPr="00CF7453" w:rsidRDefault="00934FE0" w:rsidP="00934FE0">
      <w:pPr>
        <w:pStyle w:val="ListParagraph"/>
        <w:widowControl w:val="0"/>
        <w:numPr>
          <w:ilvl w:val="1"/>
          <w:numId w:val="4"/>
        </w:numPr>
        <w:autoSpaceDE w:val="0"/>
        <w:autoSpaceDN w:val="0"/>
        <w:adjustRightInd w:val="0"/>
        <w:spacing w:after="0"/>
        <w:rPr>
          <w:b/>
          <w:color w:val="000000"/>
          <w:sz w:val="20"/>
          <w:szCs w:val="20"/>
        </w:rPr>
      </w:pPr>
      <w:proofErr w:type="spellStart"/>
      <w:r w:rsidRPr="000D027B">
        <w:rPr>
          <w:color w:val="000000"/>
          <w:sz w:val="20"/>
          <w:szCs w:val="20"/>
        </w:rPr>
        <w:t>Va</w:t>
      </w:r>
      <w:proofErr w:type="spellEnd"/>
      <w:r w:rsidRPr="000D027B">
        <w:rPr>
          <w:color w:val="000000"/>
          <w:sz w:val="20"/>
          <w:szCs w:val="20"/>
        </w:rPr>
        <w:t xml:space="preserve"> Ct App asserts new decision on </w:t>
      </w:r>
      <w:proofErr w:type="spellStart"/>
      <w:r w:rsidRPr="000D027B">
        <w:rPr>
          <w:color w:val="000000"/>
          <w:sz w:val="20"/>
          <w:szCs w:val="20"/>
        </w:rPr>
        <w:t>Va</w:t>
      </w:r>
      <w:proofErr w:type="spellEnd"/>
      <w:r w:rsidRPr="000D027B">
        <w:rPr>
          <w:color w:val="000000"/>
          <w:sz w:val="20"/>
          <w:szCs w:val="20"/>
        </w:rPr>
        <w:t xml:space="preserve"> law</w:t>
      </w:r>
      <w:r>
        <w:rPr>
          <w:color w:val="000000"/>
          <w:sz w:val="20"/>
          <w:szCs w:val="20"/>
        </w:rPr>
        <w:t xml:space="preserve"> </w:t>
      </w:r>
    </w:p>
    <w:p w14:paraId="0330CCE4" w14:textId="77777777" w:rsidR="00934FE0" w:rsidRPr="00CF7453" w:rsidRDefault="00934FE0" w:rsidP="00934FE0">
      <w:pPr>
        <w:pStyle w:val="ListParagraph"/>
        <w:widowControl w:val="0"/>
        <w:numPr>
          <w:ilvl w:val="2"/>
          <w:numId w:val="4"/>
        </w:numPr>
        <w:autoSpaceDE w:val="0"/>
        <w:autoSpaceDN w:val="0"/>
        <w:adjustRightInd w:val="0"/>
        <w:spacing w:after="0"/>
        <w:rPr>
          <w:b/>
          <w:color w:val="000000"/>
          <w:sz w:val="20"/>
          <w:szCs w:val="20"/>
        </w:rPr>
      </w:pPr>
      <w:r w:rsidRPr="001673EE">
        <w:rPr>
          <w:b/>
          <w:color w:val="000000"/>
          <w:sz w:val="20"/>
          <w:szCs w:val="20"/>
        </w:rPr>
        <w:t xml:space="preserve">Binding authority over </w:t>
      </w:r>
      <w:r>
        <w:rPr>
          <w:b/>
          <w:color w:val="000000"/>
          <w:sz w:val="20"/>
          <w:szCs w:val="20"/>
        </w:rPr>
        <w:t xml:space="preserve">VA </w:t>
      </w:r>
      <w:r w:rsidRPr="001673EE">
        <w:rPr>
          <w:b/>
          <w:color w:val="000000"/>
          <w:sz w:val="20"/>
          <w:szCs w:val="20"/>
        </w:rPr>
        <w:t>trial courts,</w:t>
      </w:r>
      <w:r w:rsidRPr="00CF7453">
        <w:rPr>
          <w:color w:val="000000"/>
          <w:sz w:val="20"/>
          <w:szCs w:val="20"/>
        </w:rPr>
        <w:t xml:space="preserve"> such trial courts are obligated to follow that App Ct.’s decision even if legal circumstances have changed and the appellate courts would surely decide if differently now </w:t>
      </w:r>
    </w:p>
    <w:p w14:paraId="0230EA6C" w14:textId="77777777" w:rsidR="00934FE0" w:rsidRPr="001673EE" w:rsidRDefault="00934FE0" w:rsidP="00934FE0">
      <w:pPr>
        <w:pStyle w:val="ListParagraph"/>
        <w:widowControl w:val="0"/>
        <w:numPr>
          <w:ilvl w:val="2"/>
          <w:numId w:val="4"/>
        </w:numPr>
        <w:autoSpaceDE w:val="0"/>
        <w:autoSpaceDN w:val="0"/>
        <w:adjustRightInd w:val="0"/>
        <w:spacing w:after="0"/>
        <w:rPr>
          <w:b/>
          <w:color w:val="000000"/>
          <w:sz w:val="20"/>
          <w:szCs w:val="20"/>
        </w:rPr>
      </w:pPr>
      <w:r w:rsidRPr="001673EE">
        <w:rPr>
          <w:b/>
          <w:color w:val="000000"/>
          <w:sz w:val="20"/>
          <w:szCs w:val="20"/>
        </w:rPr>
        <w:t xml:space="preserve">Precedential Value </w:t>
      </w:r>
      <w:r>
        <w:rPr>
          <w:b/>
          <w:color w:val="000000"/>
          <w:sz w:val="20"/>
          <w:szCs w:val="20"/>
        </w:rPr>
        <w:t>for VA Ct App</w:t>
      </w:r>
    </w:p>
    <w:p w14:paraId="299DEF6E" w14:textId="77777777" w:rsidR="00934FE0" w:rsidRDefault="00934FE0" w:rsidP="00934FE0">
      <w:pPr>
        <w:pStyle w:val="ListParagraph"/>
        <w:widowControl w:val="0"/>
        <w:numPr>
          <w:ilvl w:val="2"/>
          <w:numId w:val="4"/>
        </w:numPr>
        <w:autoSpaceDE w:val="0"/>
        <w:autoSpaceDN w:val="0"/>
        <w:adjustRightInd w:val="0"/>
        <w:spacing w:after="0"/>
        <w:rPr>
          <w:color w:val="000000"/>
          <w:sz w:val="20"/>
          <w:szCs w:val="20"/>
        </w:rPr>
      </w:pPr>
      <w:r w:rsidRPr="00CF7453">
        <w:rPr>
          <w:color w:val="000000"/>
          <w:sz w:val="20"/>
          <w:szCs w:val="20"/>
        </w:rPr>
        <w:t>Will strongly suggest how the</w:t>
      </w:r>
      <w:r>
        <w:rPr>
          <w:color w:val="000000"/>
          <w:sz w:val="20"/>
          <w:szCs w:val="20"/>
        </w:rPr>
        <w:t xml:space="preserve"> law should be decided, but a VA</w:t>
      </w:r>
      <w:r w:rsidRPr="00CF7453">
        <w:rPr>
          <w:color w:val="000000"/>
          <w:sz w:val="20"/>
          <w:szCs w:val="20"/>
        </w:rPr>
        <w:t xml:space="preserve"> Ct App </w:t>
      </w:r>
      <w:r w:rsidRPr="001673EE">
        <w:rPr>
          <w:bCs/>
          <w:i/>
          <w:color w:val="000000"/>
          <w:sz w:val="20"/>
          <w:szCs w:val="20"/>
        </w:rPr>
        <w:t>could decide differently</w:t>
      </w:r>
      <w:r w:rsidRPr="00CF7453">
        <w:rPr>
          <w:color w:val="000000"/>
          <w:sz w:val="20"/>
          <w:szCs w:val="20"/>
        </w:rPr>
        <w:t xml:space="preserve"> – </w:t>
      </w:r>
      <w:r>
        <w:rPr>
          <w:color w:val="000000"/>
          <w:sz w:val="20"/>
          <w:szCs w:val="20"/>
        </w:rPr>
        <w:t>could overrule itself</w:t>
      </w:r>
    </w:p>
    <w:p w14:paraId="2AF7104C" w14:textId="77777777" w:rsidR="00934FE0" w:rsidRDefault="00934FE0" w:rsidP="00934FE0">
      <w:pPr>
        <w:pStyle w:val="ListParagraph"/>
        <w:widowControl w:val="0"/>
        <w:numPr>
          <w:ilvl w:val="2"/>
          <w:numId w:val="4"/>
        </w:numPr>
        <w:autoSpaceDE w:val="0"/>
        <w:autoSpaceDN w:val="0"/>
        <w:adjustRightInd w:val="0"/>
        <w:spacing w:after="0"/>
        <w:rPr>
          <w:color w:val="000000"/>
          <w:sz w:val="20"/>
          <w:szCs w:val="20"/>
        </w:rPr>
      </w:pPr>
      <w:r w:rsidRPr="00CF7453">
        <w:rPr>
          <w:b/>
          <w:bCs/>
          <w:color w:val="000000"/>
          <w:sz w:val="20"/>
          <w:szCs w:val="20"/>
        </w:rPr>
        <w:t xml:space="preserve">A mere source for arguments </w:t>
      </w:r>
      <w:r>
        <w:rPr>
          <w:color w:val="000000"/>
          <w:sz w:val="20"/>
          <w:szCs w:val="20"/>
        </w:rPr>
        <w:t>for the VA</w:t>
      </w:r>
      <w:r w:rsidRPr="00CF7453">
        <w:rPr>
          <w:color w:val="000000"/>
          <w:sz w:val="20"/>
          <w:szCs w:val="20"/>
        </w:rPr>
        <w:t xml:space="preserve"> Supreme Court</w:t>
      </w:r>
    </w:p>
    <w:p w14:paraId="6338EE6D" w14:textId="77777777" w:rsidR="00934FE0" w:rsidRDefault="00934FE0" w:rsidP="00934FE0">
      <w:pPr>
        <w:pStyle w:val="ListParagraph"/>
        <w:widowControl w:val="0"/>
        <w:numPr>
          <w:ilvl w:val="1"/>
          <w:numId w:val="4"/>
        </w:numPr>
        <w:autoSpaceDE w:val="0"/>
        <w:autoSpaceDN w:val="0"/>
        <w:adjustRightInd w:val="0"/>
        <w:spacing w:after="0"/>
        <w:rPr>
          <w:color w:val="000000"/>
          <w:sz w:val="20"/>
          <w:szCs w:val="20"/>
        </w:rPr>
      </w:pPr>
      <w:r>
        <w:rPr>
          <w:color w:val="000000"/>
          <w:sz w:val="20"/>
          <w:szCs w:val="20"/>
        </w:rPr>
        <w:t xml:space="preserve">The VA </w:t>
      </w:r>
      <w:proofErr w:type="spellStart"/>
      <w:r>
        <w:rPr>
          <w:color w:val="000000"/>
          <w:sz w:val="20"/>
          <w:szCs w:val="20"/>
        </w:rPr>
        <w:t>Sct</w:t>
      </w:r>
      <w:proofErr w:type="spellEnd"/>
      <w:r>
        <w:rPr>
          <w:color w:val="000000"/>
          <w:sz w:val="20"/>
          <w:szCs w:val="20"/>
        </w:rPr>
        <w:t xml:space="preserve"> issues a new rule of VA</w:t>
      </w:r>
      <w:r w:rsidRPr="00CF7453">
        <w:rPr>
          <w:color w:val="000000"/>
          <w:sz w:val="20"/>
          <w:szCs w:val="20"/>
        </w:rPr>
        <w:t xml:space="preserve"> law</w:t>
      </w:r>
    </w:p>
    <w:p w14:paraId="1A1FBBFE" w14:textId="77777777" w:rsidR="00934FE0" w:rsidRPr="001673EE" w:rsidRDefault="00934FE0" w:rsidP="00934FE0">
      <w:pPr>
        <w:pStyle w:val="ListParagraph"/>
        <w:widowControl w:val="0"/>
        <w:numPr>
          <w:ilvl w:val="2"/>
          <w:numId w:val="4"/>
        </w:numPr>
        <w:autoSpaceDE w:val="0"/>
        <w:autoSpaceDN w:val="0"/>
        <w:adjustRightInd w:val="0"/>
        <w:spacing w:after="0"/>
        <w:rPr>
          <w:b/>
          <w:color w:val="000000"/>
          <w:sz w:val="20"/>
          <w:szCs w:val="20"/>
        </w:rPr>
      </w:pPr>
      <w:r w:rsidRPr="001673EE">
        <w:rPr>
          <w:b/>
          <w:color w:val="000000"/>
          <w:sz w:val="20"/>
          <w:szCs w:val="20"/>
        </w:rPr>
        <w:t>Binding authority over trial courts and appellate courts within the state of VA</w:t>
      </w:r>
    </w:p>
    <w:p w14:paraId="4E7BC46F" w14:textId="77777777" w:rsidR="00934FE0" w:rsidRDefault="00934FE0" w:rsidP="00934FE0">
      <w:pPr>
        <w:pStyle w:val="ListParagraph"/>
        <w:widowControl w:val="0"/>
        <w:numPr>
          <w:ilvl w:val="2"/>
          <w:numId w:val="4"/>
        </w:numPr>
        <w:autoSpaceDE w:val="0"/>
        <w:autoSpaceDN w:val="0"/>
        <w:adjustRightInd w:val="0"/>
        <w:spacing w:after="0"/>
        <w:rPr>
          <w:color w:val="000000"/>
          <w:sz w:val="20"/>
          <w:szCs w:val="20"/>
        </w:rPr>
      </w:pPr>
      <w:r w:rsidRPr="00CF7453">
        <w:rPr>
          <w:color w:val="000000"/>
          <w:sz w:val="20"/>
          <w:szCs w:val="20"/>
        </w:rPr>
        <w:t>Such court</w:t>
      </w:r>
      <w:r>
        <w:rPr>
          <w:color w:val="000000"/>
          <w:sz w:val="20"/>
          <w:szCs w:val="20"/>
        </w:rPr>
        <w:t>s are obligated to follow the VA</w:t>
      </w:r>
      <w:r w:rsidRPr="00CF7453">
        <w:rPr>
          <w:color w:val="000000"/>
          <w:sz w:val="20"/>
          <w:szCs w:val="20"/>
        </w:rPr>
        <w:t xml:space="preserve"> </w:t>
      </w:r>
      <w:proofErr w:type="spellStart"/>
      <w:r w:rsidRPr="00CF7453">
        <w:rPr>
          <w:color w:val="000000"/>
          <w:sz w:val="20"/>
          <w:szCs w:val="20"/>
        </w:rPr>
        <w:t>SCt</w:t>
      </w:r>
      <w:proofErr w:type="spellEnd"/>
      <w:r w:rsidRPr="00CF7453">
        <w:rPr>
          <w:color w:val="000000"/>
          <w:sz w:val="20"/>
          <w:szCs w:val="20"/>
        </w:rPr>
        <w:t xml:space="preserve"> decision </w:t>
      </w:r>
      <w:r>
        <w:rPr>
          <w:color w:val="000000"/>
          <w:sz w:val="20"/>
          <w:szCs w:val="20"/>
        </w:rPr>
        <w:t>even if legal times have change</w:t>
      </w:r>
    </w:p>
    <w:p w14:paraId="7D2BA2E6" w14:textId="77777777" w:rsidR="00934FE0" w:rsidRPr="001673EE" w:rsidRDefault="00934FE0" w:rsidP="00934FE0">
      <w:pPr>
        <w:pStyle w:val="ListParagraph"/>
        <w:widowControl w:val="0"/>
        <w:numPr>
          <w:ilvl w:val="2"/>
          <w:numId w:val="4"/>
        </w:numPr>
        <w:autoSpaceDE w:val="0"/>
        <w:autoSpaceDN w:val="0"/>
        <w:adjustRightInd w:val="0"/>
        <w:spacing w:after="0"/>
        <w:rPr>
          <w:b/>
          <w:color w:val="000000"/>
          <w:sz w:val="20"/>
          <w:szCs w:val="20"/>
        </w:rPr>
      </w:pPr>
      <w:r w:rsidRPr="001673EE">
        <w:rPr>
          <w:b/>
          <w:color w:val="000000"/>
          <w:sz w:val="20"/>
          <w:szCs w:val="20"/>
        </w:rPr>
        <w:t xml:space="preserve">Precedential value for the VA </w:t>
      </w:r>
      <w:proofErr w:type="spellStart"/>
      <w:r w:rsidRPr="001673EE">
        <w:rPr>
          <w:b/>
          <w:color w:val="000000"/>
          <w:sz w:val="20"/>
          <w:szCs w:val="20"/>
        </w:rPr>
        <w:t>SCt</w:t>
      </w:r>
      <w:proofErr w:type="spellEnd"/>
      <w:r w:rsidRPr="001673EE">
        <w:rPr>
          <w:b/>
          <w:color w:val="000000"/>
          <w:sz w:val="20"/>
          <w:szCs w:val="20"/>
        </w:rPr>
        <w:t xml:space="preserve"> </w:t>
      </w:r>
    </w:p>
    <w:p w14:paraId="0E1543D3" w14:textId="77777777" w:rsidR="00934FE0" w:rsidRDefault="00934FE0" w:rsidP="00934FE0">
      <w:pPr>
        <w:pStyle w:val="ListParagraph"/>
        <w:widowControl w:val="0"/>
        <w:numPr>
          <w:ilvl w:val="2"/>
          <w:numId w:val="4"/>
        </w:numPr>
        <w:autoSpaceDE w:val="0"/>
        <w:autoSpaceDN w:val="0"/>
        <w:adjustRightInd w:val="0"/>
        <w:spacing w:after="0"/>
        <w:rPr>
          <w:color w:val="000000"/>
          <w:sz w:val="20"/>
          <w:szCs w:val="20"/>
        </w:rPr>
      </w:pPr>
      <w:r w:rsidRPr="00CF7453">
        <w:rPr>
          <w:color w:val="000000"/>
          <w:sz w:val="20"/>
          <w:szCs w:val="20"/>
        </w:rPr>
        <w:t xml:space="preserve">Will strongly suggest how the law </w:t>
      </w:r>
      <w:r w:rsidRPr="001673EE">
        <w:rPr>
          <w:i/>
          <w:color w:val="000000"/>
          <w:sz w:val="20"/>
          <w:szCs w:val="20"/>
        </w:rPr>
        <w:t xml:space="preserve">should be decided, but the </w:t>
      </w:r>
      <w:proofErr w:type="spellStart"/>
      <w:r w:rsidRPr="001673EE">
        <w:rPr>
          <w:i/>
          <w:color w:val="000000"/>
          <w:sz w:val="20"/>
          <w:szCs w:val="20"/>
        </w:rPr>
        <w:t>Va</w:t>
      </w:r>
      <w:proofErr w:type="spellEnd"/>
      <w:r w:rsidRPr="001673EE">
        <w:rPr>
          <w:i/>
          <w:color w:val="000000"/>
          <w:sz w:val="20"/>
          <w:szCs w:val="20"/>
        </w:rPr>
        <w:t xml:space="preserve"> </w:t>
      </w:r>
      <w:proofErr w:type="spellStart"/>
      <w:r w:rsidRPr="001673EE">
        <w:rPr>
          <w:i/>
          <w:color w:val="000000"/>
          <w:sz w:val="20"/>
          <w:szCs w:val="20"/>
        </w:rPr>
        <w:t>Sct</w:t>
      </w:r>
      <w:proofErr w:type="spellEnd"/>
      <w:r w:rsidRPr="001673EE">
        <w:rPr>
          <w:i/>
          <w:color w:val="000000"/>
          <w:sz w:val="20"/>
          <w:szCs w:val="20"/>
        </w:rPr>
        <w:t xml:space="preserve"> could decide differently</w:t>
      </w:r>
    </w:p>
    <w:p w14:paraId="60D7A947" w14:textId="77777777" w:rsidR="00934FE0" w:rsidRPr="004E615D" w:rsidRDefault="00934FE0" w:rsidP="00934FE0">
      <w:pPr>
        <w:pStyle w:val="ListParagraph"/>
        <w:widowControl w:val="0"/>
        <w:numPr>
          <w:ilvl w:val="0"/>
          <w:numId w:val="4"/>
        </w:numPr>
        <w:autoSpaceDE w:val="0"/>
        <w:autoSpaceDN w:val="0"/>
        <w:adjustRightInd w:val="0"/>
        <w:spacing w:after="0"/>
        <w:rPr>
          <w:color w:val="000000"/>
          <w:sz w:val="20"/>
          <w:szCs w:val="20"/>
        </w:rPr>
      </w:pPr>
      <w:r>
        <w:rPr>
          <w:b/>
          <w:color w:val="000000"/>
          <w:sz w:val="20"/>
          <w:szCs w:val="20"/>
        </w:rPr>
        <w:t xml:space="preserve">This system is true of US </w:t>
      </w:r>
      <w:proofErr w:type="spellStart"/>
      <w:r>
        <w:rPr>
          <w:b/>
          <w:color w:val="000000"/>
          <w:sz w:val="20"/>
          <w:szCs w:val="20"/>
        </w:rPr>
        <w:t>SCt</w:t>
      </w:r>
      <w:proofErr w:type="spellEnd"/>
      <w:r>
        <w:rPr>
          <w:b/>
          <w:color w:val="000000"/>
          <w:sz w:val="20"/>
          <w:szCs w:val="20"/>
        </w:rPr>
        <w:t xml:space="preserve"> decisions too</w:t>
      </w:r>
    </w:p>
    <w:p w14:paraId="4C85E867" w14:textId="77777777" w:rsidR="00934FE0" w:rsidRPr="004E615D" w:rsidRDefault="00934FE0" w:rsidP="00934FE0">
      <w:pPr>
        <w:pStyle w:val="ListParagraph"/>
        <w:widowControl w:val="0"/>
        <w:numPr>
          <w:ilvl w:val="1"/>
          <w:numId w:val="4"/>
        </w:numPr>
        <w:autoSpaceDE w:val="0"/>
        <w:autoSpaceDN w:val="0"/>
        <w:adjustRightInd w:val="0"/>
        <w:spacing w:after="0"/>
        <w:rPr>
          <w:color w:val="000000"/>
          <w:sz w:val="20"/>
          <w:szCs w:val="20"/>
        </w:rPr>
      </w:pPr>
      <w:proofErr w:type="gramStart"/>
      <w:r w:rsidRPr="004E615D">
        <w:rPr>
          <w:b/>
          <w:color w:val="000000"/>
          <w:sz w:val="20"/>
          <w:szCs w:val="20"/>
        </w:rPr>
        <w:t>There is an old US</w:t>
      </w:r>
      <w:r>
        <w:rPr>
          <w:b/>
          <w:color w:val="000000"/>
          <w:sz w:val="20"/>
          <w:szCs w:val="20"/>
        </w:rPr>
        <w:t xml:space="preserve"> </w:t>
      </w:r>
      <w:proofErr w:type="spellStart"/>
      <w:r>
        <w:rPr>
          <w:b/>
          <w:color w:val="000000"/>
          <w:sz w:val="20"/>
          <w:szCs w:val="20"/>
        </w:rPr>
        <w:t>SCt</w:t>
      </w:r>
      <w:proofErr w:type="spellEnd"/>
      <w:r>
        <w:rPr>
          <w:b/>
          <w:color w:val="000000"/>
          <w:sz w:val="20"/>
          <w:szCs w:val="20"/>
        </w:rPr>
        <w:t xml:space="preserve"> case on point that says X.</w:t>
      </w:r>
      <w:proofErr w:type="gramEnd"/>
      <w:r w:rsidRPr="004E615D">
        <w:rPr>
          <w:b/>
          <w:color w:val="000000"/>
          <w:sz w:val="20"/>
          <w:szCs w:val="20"/>
        </w:rPr>
        <w:br/>
        <w:t xml:space="preserve">A state court or lower federal court feels that the US </w:t>
      </w:r>
      <w:proofErr w:type="spellStart"/>
      <w:r w:rsidRPr="004E615D">
        <w:rPr>
          <w:b/>
          <w:color w:val="000000"/>
          <w:sz w:val="20"/>
          <w:szCs w:val="20"/>
        </w:rPr>
        <w:t>SCt</w:t>
      </w:r>
      <w:proofErr w:type="spellEnd"/>
      <w:r w:rsidRPr="004E615D">
        <w:rPr>
          <w:b/>
          <w:color w:val="000000"/>
          <w:sz w:val="20"/>
          <w:szCs w:val="20"/>
        </w:rPr>
        <w:t xml:space="preserve"> would say </w:t>
      </w:r>
      <w:r w:rsidRPr="004E615D">
        <w:rPr>
          <w:b/>
          <w:bCs/>
          <w:i/>
          <w:iCs/>
          <w:color w:val="000000"/>
          <w:sz w:val="20"/>
          <w:szCs w:val="20"/>
        </w:rPr>
        <w:t xml:space="preserve">not-X </w:t>
      </w:r>
      <w:r w:rsidRPr="004E615D">
        <w:rPr>
          <w:b/>
          <w:color w:val="000000"/>
          <w:sz w:val="20"/>
          <w:szCs w:val="20"/>
        </w:rPr>
        <w:t xml:space="preserve">now. </w:t>
      </w:r>
      <w:r w:rsidRPr="004E615D">
        <w:rPr>
          <w:b/>
          <w:color w:val="000000"/>
          <w:sz w:val="20"/>
          <w:szCs w:val="20"/>
        </w:rPr>
        <w:br/>
      </w:r>
      <w:r w:rsidRPr="004E615D">
        <w:rPr>
          <w:b/>
          <w:color w:val="000000"/>
          <w:sz w:val="20"/>
          <w:szCs w:val="20"/>
        </w:rPr>
        <w:br/>
      </w:r>
      <w:r w:rsidRPr="004E615D">
        <w:rPr>
          <w:b/>
          <w:color w:val="000000"/>
          <w:sz w:val="20"/>
          <w:szCs w:val="20"/>
        </w:rPr>
        <w:lastRenderedPageBreak/>
        <w:t>Can the state court or lower federal court decide not-X?</w:t>
      </w:r>
    </w:p>
    <w:p w14:paraId="48318891" w14:textId="77777777" w:rsidR="00934FE0" w:rsidRPr="005511E8" w:rsidRDefault="00934FE0" w:rsidP="00934FE0">
      <w:pPr>
        <w:pStyle w:val="ListParagraph"/>
        <w:widowControl w:val="0"/>
        <w:numPr>
          <w:ilvl w:val="1"/>
          <w:numId w:val="4"/>
        </w:numPr>
        <w:autoSpaceDE w:val="0"/>
        <w:autoSpaceDN w:val="0"/>
        <w:adjustRightInd w:val="0"/>
        <w:spacing w:after="0"/>
        <w:rPr>
          <w:color w:val="000000"/>
          <w:sz w:val="20"/>
          <w:szCs w:val="20"/>
        </w:rPr>
      </w:pPr>
      <w:r>
        <w:rPr>
          <w:b/>
          <w:color w:val="000000"/>
          <w:sz w:val="20"/>
          <w:szCs w:val="20"/>
        </w:rPr>
        <w:t xml:space="preserve">NO – but let </w:t>
      </w:r>
      <w:proofErr w:type="spellStart"/>
      <w:r>
        <w:rPr>
          <w:b/>
          <w:color w:val="000000"/>
          <w:sz w:val="20"/>
          <w:szCs w:val="20"/>
        </w:rPr>
        <w:t>USSCt</w:t>
      </w:r>
      <w:proofErr w:type="spellEnd"/>
      <w:r>
        <w:rPr>
          <w:b/>
          <w:color w:val="000000"/>
          <w:sz w:val="20"/>
          <w:szCs w:val="20"/>
        </w:rPr>
        <w:t xml:space="preserve"> overrule itself</w:t>
      </w:r>
    </w:p>
    <w:p w14:paraId="2F50F1A7" w14:textId="77777777" w:rsidR="00934FE0" w:rsidRPr="004E615D" w:rsidRDefault="00934FE0" w:rsidP="00934FE0">
      <w:pPr>
        <w:pStyle w:val="ListParagraph"/>
        <w:widowControl w:val="0"/>
        <w:autoSpaceDE w:val="0"/>
        <w:autoSpaceDN w:val="0"/>
        <w:adjustRightInd w:val="0"/>
        <w:ind w:left="1440"/>
        <w:rPr>
          <w:color w:val="000000"/>
          <w:sz w:val="20"/>
          <w:szCs w:val="20"/>
        </w:rPr>
      </w:pPr>
    </w:p>
    <w:p w14:paraId="4F535860" w14:textId="77777777" w:rsidR="00934FE0" w:rsidRPr="004E615D" w:rsidRDefault="00934FE0" w:rsidP="00934FE0">
      <w:pPr>
        <w:pStyle w:val="ListParagraph"/>
        <w:widowControl w:val="0"/>
        <w:numPr>
          <w:ilvl w:val="0"/>
          <w:numId w:val="4"/>
        </w:numPr>
        <w:autoSpaceDE w:val="0"/>
        <w:autoSpaceDN w:val="0"/>
        <w:adjustRightInd w:val="0"/>
        <w:spacing w:after="0"/>
        <w:rPr>
          <w:color w:val="000000"/>
          <w:sz w:val="20"/>
          <w:szCs w:val="20"/>
        </w:rPr>
      </w:pPr>
      <w:proofErr w:type="gramStart"/>
      <w:r>
        <w:rPr>
          <w:color w:val="000000"/>
          <w:sz w:val="20"/>
          <w:szCs w:val="20"/>
        </w:rPr>
        <w:t>should</w:t>
      </w:r>
      <w:proofErr w:type="gramEnd"/>
      <w:r>
        <w:rPr>
          <w:color w:val="000000"/>
          <w:sz w:val="20"/>
          <w:szCs w:val="20"/>
        </w:rPr>
        <w:t xml:space="preserve"> a federal court deciding a matter of state law act like a lower state court and follow all state </w:t>
      </w:r>
      <w:proofErr w:type="spellStart"/>
      <w:r>
        <w:rPr>
          <w:color w:val="000000"/>
          <w:sz w:val="20"/>
          <w:szCs w:val="20"/>
        </w:rPr>
        <w:t>SCt</w:t>
      </w:r>
      <w:proofErr w:type="spellEnd"/>
      <w:r>
        <w:rPr>
          <w:color w:val="000000"/>
          <w:sz w:val="20"/>
          <w:szCs w:val="20"/>
        </w:rPr>
        <w:t xml:space="preserve"> cases?</w:t>
      </w:r>
    </w:p>
    <w:p w14:paraId="4B724A5E" w14:textId="77777777" w:rsidR="00934FE0" w:rsidRDefault="00934FE0" w:rsidP="00934FE0">
      <w:pPr>
        <w:pStyle w:val="ListParagraph"/>
        <w:widowControl w:val="0"/>
        <w:numPr>
          <w:ilvl w:val="0"/>
          <w:numId w:val="4"/>
        </w:numPr>
        <w:autoSpaceDE w:val="0"/>
        <w:autoSpaceDN w:val="0"/>
        <w:adjustRightInd w:val="0"/>
        <w:spacing w:after="0"/>
        <w:rPr>
          <w:color w:val="000000"/>
          <w:sz w:val="20"/>
          <w:szCs w:val="20"/>
        </w:rPr>
      </w:pPr>
      <w:r w:rsidRPr="00CD2620">
        <w:rPr>
          <w:b/>
          <w:color w:val="000000"/>
          <w:sz w:val="20"/>
          <w:szCs w:val="20"/>
        </w:rPr>
        <w:t>Hypo:</w:t>
      </w:r>
      <w:r>
        <w:rPr>
          <w:color w:val="000000"/>
          <w:sz w:val="20"/>
          <w:szCs w:val="20"/>
        </w:rPr>
        <w:t xml:space="preserve"> P sues D in Federal Court in diversity under Penn law, last Penn decision is 80 years old in Penn </w:t>
      </w:r>
      <w:proofErr w:type="spellStart"/>
      <w:r>
        <w:rPr>
          <w:color w:val="000000"/>
          <w:sz w:val="20"/>
          <w:szCs w:val="20"/>
        </w:rPr>
        <w:t>S.Ct</w:t>
      </w:r>
      <w:proofErr w:type="spellEnd"/>
      <w:r>
        <w:rPr>
          <w:color w:val="000000"/>
          <w:sz w:val="20"/>
          <w:szCs w:val="20"/>
        </w:rPr>
        <w:t xml:space="preserve">, it looks like they would decide otherwise now, </w:t>
      </w:r>
      <w:proofErr w:type="gramStart"/>
      <w:r>
        <w:rPr>
          <w:color w:val="000000"/>
          <w:sz w:val="20"/>
          <w:szCs w:val="20"/>
        </w:rPr>
        <w:t>does</w:t>
      </w:r>
      <w:proofErr w:type="gramEnd"/>
      <w:r>
        <w:rPr>
          <w:color w:val="000000"/>
          <w:sz w:val="20"/>
          <w:szCs w:val="20"/>
        </w:rPr>
        <w:t xml:space="preserve"> the federal court follow the decision?</w:t>
      </w:r>
    </w:p>
    <w:p w14:paraId="7A9BDCC6" w14:textId="77777777" w:rsidR="00934FE0" w:rsidRDefault="00934FE0" w:rsidP="00934FE0">
      <w:pPr>
        <w:pStyle w:val="ListParagraph"/>
        <w:widowControl w:val="0"/>
        <w:numPr>
          <w:ilvl w:val="1"/>
          <w:numId w:val="4"/>
        </w:numPr>
        <w:autoSpaceDE w:val="0"/>
        <w:autoSpaceDN w:val="0"/>
        <w:adjustRightInd w:val="0"/>
        <w:spacing w:after="0"/>
        <w:rPr>
          <w:color w:val="000000"/>
          <w:sz w:val="20"/>
          <w:szCs w:val="20"/>
        </w:rPr>
      </w:pPr>
      <w:r>
        <w:rPr>
          <w:color w:val="000000"/>
          <w:sz w:val="20"/>
          <w:szCs w:val="20"/>
        </w:rPr>
        <w:t>the problem is that there is no</w:t>
      </w:r>
      <w:r w:rsidRPr="00CD2620">
        <w:rPr>
          <w:color w:val="000000"/>
          <w:sz w:val="20"/>
          <w:szCs w:val="20"/>
        </w:rPr>
        <w:t xml:space="preserve"> appeal from Federal Court to the Penn Supreme Court </w:t>
      </w:r>
    </w:p>
    <w:p w14:paraId="487195F5" w14:textId="77777777" w:rsidR="00934FE0" w:rsidRDefault="00934FE0" w:rsidP="00934FE0">
      <w:pPr>
        <w:pStyle w:val="ListParagraph"/>
        <w:widowControl w:val="0"/>
        <w:numPr>
          <w:ilvl w:val="1"/>
          <w:numId w:val="4"/>
        </w:numPr>
        <w:autoSpaceDE w:val="0"/>
        <w:autoSpaceDN w:val="0"/>
        <w:adjustRightInd w:val="0"/>
        <w:spacing w:after="0"/>
        <w:rPr>
          <w:color w:val="000000"/>
          <w:sz w:val="20"/>
          <w:szCs w:val="20"/>
        </w:rPr>
      </w:pPr>
      <w:r>
        <w:rPr>
          <w:color w:val="000000"/>
          <w:sz w:val="20"/>
          <w:szCs w:val="20"/>
        </w:rPr>
        <w:t xml:space="preserve">What should it do? To try and make things turn out as similar as possible in federal court as states court Federal Court should interpret PA law the way they think it would PA </w:t>
      </w:r>
      <w:proofErr w:type="spellStart"/>
      <w:r>
        <w:rPr>
          <w:color w:val="000000"/>
          <w:sz w:val="20"/>
          <w:szCs w:val="20"/>
        </w:rPr>
        <w:t>SCt</w:t>
      </w:r>
      <w:proofErr w:type="spellEnd"/>
      <w:r>
        <w:rPr>
          <w:color w:val="000000"/>
          <w:sz w:val="20"/>
          <w:szCs w:val="20"/>
        </w:rPr>
        <w:t xml:space="preserve"> would now  </w:t>
      </w:r>
    </w:p>
    <w:p w14:paraId="4892C5EC" w14:textId="77777777" w:rsidR="00934FE0" w:rsidRPr="00CD2620" w:rsidRDefault="00934FE0" w:rsidP="00934FE0">
      <w:pPr>
        <w:pStyle w:val="ListParagraph"/>
        <w:widowControl w:val="0"/>
        <w:numPr>
          <w:ilvl w:val="1"/>
          <w:numId w:val="4"/>
        </w:numPr>
        <w:autoSpaceDE w:val="0"/>
        <w:autoSpaceDN w:val="0"/>
        <w:adjustRightInd w:val="0"/>
        <w:spacing w:after="0"/>
        <w:rPr>
          <w:color w:val="000000"/>
          <w:sz w:val="20"/>
          <w:szCs w:val="20"/>
        </w:rPr>
      </w:pPr>
      <w:r>
        <w:rPr>
          <w:b/>
          <w:color w:val="000000"/>
          <w:sz w:val="20"/>
          <w:szCs w:val="20"/>
        </w:rPr>
        <w:t xml:space="preserve">Not Swift v. Tyson – the federal court is predicting what the PA </w:t>
      </w:r>
      <w:proofErr w:type="spellStart"/>
      <w:r>
        <w:rPr>
          <w:b/>
          <w:color w:val="000000"/>
          <w:sz w:val="20"/>
          <w:szCs w:val="20"/>
        </w:rPr>
        <w:t>SCt</w:t>
      </w:r>
      <w:proofErr w:type="spellEnd"/>
      <w:r>
        <w:rPr>
          <w:b/>
          <w:color w:val="000000"/>
          <w:sz w:val="20"/>
          <w:szCs w:val="20"/>
        </w:rPr>
        <w:t xml:space="preserve"> would say </w:t>
      </w:r>
    </w:p>
    <w:p w14:paraId="41BFDA7B" w14:textId="77777777" w:rsidR="00934FE0" w:rsidRDefault="00934FE0" w:rsidP="00934FE0"/>
    <w:p w14:paraId="40E5E659" w14:textId="77777777" w:rsidR="00B25FB8" w:rsidRDefault="00B25FB8" w:rsidP="00B25FB8">
      <w:pPr>
        <w:rPr>
          <w:rFonts w:cs="Arial Unicode MS"/>
        </w:rPr>
      </w:pPr>
    </w:p>
    <w:p w14:paraId="4EC2A9A4" w14:textId="77777777" w:rsidR="00B25FB8" w:rsidRDefault="00B25FB8" w:rsidP="00B25FB8">
      <w:pPr>
        <w:rPr>
          <w:rFonts w:cs="Arial Unicode MS"/>
        </w:rPr>
      </w:pPr>
      <w:r>
        <w:rPr>
          <w:rFonts w:cs="Arial Unicode MS"/>
        </w:rPr>
        <w:t xml:space="preserve">So </w:t>
      </w:r>
      <w:proofErr w:type="gramStart"/>
      <w:r>
        <w:rPr>
          <w:rFonts w:cs="Arial Unicode MS"/>
        </w:rPr>
        <w:t>far</w:t>
      </w:r>
      <w:proofErr w:type="gramEnd"/>
      <w:r>
        <w:rPr>
          <w:rFonts w:cs="Arial Unicode MS"/>
        </w:rPr>
        <w:t xml:space="preserve"> we have been discussing interpretation of another jurisdiction’s law. </w:t>
      </w:r>
      <w:proofErr w:type="gramStart"/>
      <w:r>
        <w:rPr>
          <w:rFonts w:cs="Arial Unicode MS"/>
        </w:rPr>
        <w:t>But</w:t>
      </w:r>
      <w:proofErr w:type="gramEnd"/>
      <w:r>
        <w:rPr>
          <w:rFonts w:cs="Arial Unicode MS"/>
        </w:rPr>
        <w:t xml:space="preserve"> there is also the question of choosing between two jurisdiction’s laws. </w:t>
      </w:r>
      <w:proofErr w:type="gramStart"/>
      <w:r>
        <w:rPr>
          <w:rFonts w:cs="Arial Unicode MS"/>
        </w:rPr>
        <w:t>Let’s</w:t>
      </w:r>
      <w:proofErr w:type="gramEnd"/>
      <w:r>
        <w:rPr>
          <w:rFonts w:cs="Arial Unicode MS"/>
        </w:rPr>
        <w:t xml:space="preserve"> start with choice of </w:t>
      </w:r>
      <w:r w:rsidRPr="00031F7C">
        <w:rPr>
          <w:rFonts w:cs="Arial Unicode MS"/>
          <w:i/>
        </w:rPr>
        <w:t>substantive</w:t>
      </w:r>
      <w:r>
        <w:rPr>
          <w:rFonts w:cs="Arial Unicode MS"/>
        </w:rPr>
        <w:t xml:space="preserve"> law in </w:t>
      </w:r>
      <w:r w:rsidRPr="00031F7C">
        <w:rPr>
          <w:rFonts w:cs="Arial Unicode MS"/>
          <w:i/>
        </w:rPr>
        <w:t>state</w:t>
      </w:r>
      <w:r>
        <w:rPr>
          <w:rFonts w:cs="Arial Unicode MS"/>
        </w:rPr>
        <w:t xml:space="preserve"> court. A state court might choose between </w:t>
      </w:r>
      <w:r w:rsidRPr="00031F7C">
        <w:rPr>
          <w:rFonts w:cs="Arial Unicode MS"/>
        </w:rPr>
        <w:t>two state</w:t>
      </w:r>
      <w:r>
        <w:rPr>
          <w:rFonts w:cs="Arial Unicode MS"/>
        </w:rPr>
        <w:t>s’ substantive laws (Nevada or California?),</w:t>
      </w:r>
      <w:r w:rsidRPr="00031F7C">
        <w:rPr>
          <w:rFonts w:cs="Arial Unicode MS"/>
        </w:rPr>
        <w:t xml:space="preserve"> two countri</w:t>
      </w:r>
      <w:r>
        <w:rPr>
          <w:rFonts w:cs="Arial Unicode MS"/>
        </w:rPr>
        <w:t xml:space="preserve">es’ laws (Germany or Brazil?), or </w:t>
      </w:r>
      <w:r w:rsidRPr="00031F7C">
        <w:rPr>
          <w:rFonts w:cs="Arial Unicode MS"/>
        </w:rPr>
        <w:t>a state’s law a</w:t>
      </w:r>
      <w:r>
        <w:rPr>
          <w:rFonts w:cs="Arial Unicode MS"/>
        </w:rPr>
        <w:t xml:space="preserve">nd a country’s law (Germany or </w:t>
      </w:r>
      <w:r w:rsidRPr="00031F7C">
        <w:rPr>
          <w:rFonts w:cs="Arial Unicode MS"/>
        </w:rPr>
        <w:t>California?)</w:t>
      </w:r>
    </w:p>
    <w:p w14:paraId="1CF2D318" w14:textId="77777777" w:rsidR="00B25FB8" w:rsidRDefault="00B25FB8" w:rsidP="00B25FB8">
      <w:pPr>
        <w:rPr>
          <w:rFonts w:cs="Arial Unicode MS"/>
        </w:rPr>
      </w:pPr>
    </w:p>
    <w:p w14:paraId="2A990361" w14:textId="77777777" w:rsidR="00B25FB8" w:rsidRDefault="00B25FB8" w:rsidP="00B25FB8">
      <w:pPr>
        <w:rPr>
          <w:rFonts w:cs="Arial Unicode MS"/>
        </w:rPr>
      </w:pPr>
      <w:r>
        <w:rPr>
          <w:rFonts w:cs="Arial Unicode MS"/>
        </w:rPr>
        <w:t>Notice that</w:t>
      </w:r>
      <w:r w:rsidRPr="001C5411">
        <w:rPr>
          <w:rFonts w:cs="Arial Unicode MS"/>
        </w:rPr>
        <w:t xml:space="preserve"> choice betwee</w:t>
      </w:r>
      <w:r>
        <w:rPr>
          <w:rFonts w:cs="Arial Unicode MS"/>
        </w:rPr>
        <w:t xml:space="preserve">n federal law and a state’s law is not an issue—the Supremacy Clause makes it clear that valid federal law wins. </w:t>
      </w:r>
    </w:p>
    <w:p w14:paraId="4B237AE7" w14:textId="77777777" w:rsidR="00B25FB8" w:rsidRDefault="00B25FB8" w:rsidP="00B25FB8">
      <w:pPr>
        <w:rPr>
          <w:rFonts w:cs="Arial Unicode MS"/>
        </w:rPr>
      </w:pPr>
    </w:p>
    <w:p w14:paraId="2B2EC184" w14:textId="77777777" w:rsidR="00B25FB8" w:rsidRDefault="00B25FB8" w:rsidP="00B25FB8">
      <w:pPr>
        <w:rPr>
          <w:rFonts w:cs="Arial Unicode MS"/>
        </w:rPr>
      </w:pPr>
      <w:r>
        <w:rPr>
          <w:rFonts w:cs="Arial Unicode MS"/>
        </w:rPr>
        <w:t>Here is a choice of law problem. T</w:t>
      </w:r>
      <w:r w:rsidRPr="005960FA">
        <w:rPr>
          <w:rFonts w:cs="Arial Unicode MS"/>
        </w:rPr>
        <w:t>wo married Georgians get i</w:t>
      </w:r>
      <w:r>
        <w:rPr>
          <w:rFonts w:cs="Arial Unicode MS"/>
        </w:rPr>
        <w:t>nto an accident in California. T</w:t>
      </w:r>
      <w:r w:rsidRPr="005960FA">
        <w:rPr>
          <w:rFonts w:cs="Arial Unicode MS"/>
        </w:rPr>
        <w:t xml:space="preserve">he husband wishes </w:t>
      </w:r>
      <w:r>
        <w:rPr>
          <w:rFonts w:cs="Arial Unicode MS"/>
        </w:rPr>
        <w:t xml:space="preserve">to sue the wife for negligence. Ga. law has spousal immunity. Under </w:t>
      </w:r>
      <w:r w:rsidRPr="005960FA">
        <w:rPr>
          <w:rFonts w:cs="Arial Unicode MS"/>
        </w:rPr>
        <w:t>C</w:t>
      </w:r>
      <w:r>
        <w:rPr>
          <w:rFonts w:cs="Arial Unicode MS"/>
        </w:rPr>
        <w:t xml:space="preserve">a. law, </w:t>
      </w:r>
      <w:r w:rsidRPr="005960FA">
        <w:rPr>
          <w:rFonts w:cs="Arial Unicode MS"/>
        </w:rPr>
        <w:t>spouses can sue one another for negligence</w:t>
      </w:r>
      <w:r>
        <w:rPr>
          <w:rFonts w:cs="Arial Unicode MS"/>
        </w:rPr>
        <w:t>. Which tort law should the court apply?</w:t>
      </w:r>
    </w:p>
    <w:p w14:paraId="3BC2B760" w14:textId="77777777" w:rsidR="00B25FB8" w:rsidRDefault="00B25FB8" w:rsidP="00B25FB8">
      <w:pPr>
        <w:rPr>
          <w:rFonts w:cs="Arial Unicode MS"/>
        </w:rPr>
      </w:pPr>
      <w:r>
        <w:rPr>
          <w:rFonts w:cs="Arial Unicode MS"/>
        </w:rPr>
        <w:t>A</w:t>
      </w:r>
      <w:r w:rsidRPr="00B72DB3">
        <w:rPr>
          <w:rFonts w:cs="Arial Unicode MS"/>
        </w:rPr>
        <w:t xml:space="preserve">ssume the case </w:t>
      </w:r>
      <w:r>
        <w:rPr>
          <w:rFonts w:cs="Arial Unicode MS"/>
        </w:rPr>
        <w:t xml:space="preserve">is before a Virginia state court. It would use the old-fashioned principle of </w:t>
      </w:r>
      <w:proofErr w:type="spellStart"/>
      <w:r>
        <w:rPr>
          <w:rFonts w:cs="Arial Unicode MS"/>
        </w:rPr>
        <w:t>lex</w:t>
      </w:r>
      <w:proofErr w:type="spellEnd"/>
      <w:r>
        <w:rPr>
          <w:rFonts w:cs="Arial Unicode MS"/>
        </w:rPr>
        <w:t xml:space="preserve"> loci </w:t>
      </w:r>
      <w:proofErr w:type="spellStart"/>
      <w:r>
        <w:rPr>
          <w:rFonts w:cs="Arial Unicode MS"/>
        </w:rPr>
        <w:t>delicti</w:t>
      </w:r>
      <w:proofErr w:type="spellEnd"/>
      <w:r>
        <w:rPr>
          <w:rFonts w:cs="Arial Unicode MS"/>
        </w:rPr>
        <w:t>—</w:t>
      </w:r>
      <w:r w:rsidRPr="00B72DB3">
        <w:rPr>
          <w:rFonts w:cs="Arial Unicode MS"/>
        </w:rPr>
        <w:t>the tort law of</w:t>
      </w:r>
      <w:r>
        <w:rPr>
          <w:rFonts w:cs="Arial Unicode MS"/>
        </w:rPr>
        <w:t xml:space="preserve"> the place of the harm applies. </w:t>
      </w:r>
      <w:proofErr w:type="gramStart"/>
      <w:r>
        <w:rPr>
          <w:rFonts w:cs="Arial Unicode MS"/>
        </w:rPr>
        <w:t>So</w:t>
      </w:r>
      <w:proofErr w:type="gramEnd"/>
      <w:r>
        <w:rPr>
          <w:rFonts w:cs="Arial Unicode MS"/>
        </w:rPr>
        <w:t xml:space="preserve"> </w:t>
      </w:r>
      <w:r w:rsidRPr="00B72DB3">
        <w:rPr>
          <w:rFonts w:cs="Arial Unicode MS"/>
        </w:rPr>
        <w:t>the court would apply California law and allow the husband’s action to proceed</w:t>
      </w:r>
      <w:r>
        <w:rPr>
          <w:rFonts w:cs="Arial Unicode MS"/>
        </w:rPr>
        <w:t>. (A Ga. court would use that approach too and so would apply Ca. law.)</w:t>
      </w:r>
    </w:p>
    <w:p w14:paraId="3801B039" w14:textId="223E5C76" w:rsidR="00B25FB8" w:rsidRDefault="00B25FB8" w:rsidP="00B25FB8">
      <w:pPr>
        <w:rPr>
          <w:rFonts w:cs="Arial Unicode MS"/>
        </w:rPr>
      </w:pPr>
      <w:r>
        <w:rPr>
          <w:rFonts w:cs="Arial Unicode MS"/>
        </w:rPr>
        <w:t>A</w:t>
      </w:r>
      <w:r w:rsidRPr="006A745C">
        <w:rPr>
          <w:rFonts w:cs="Arial Unicode MS"/>
        </w:rPr>
        <w:t>ssume the case is before a Pennsylvania state court</w:t>
      </w:r>
      <w:r>
        <w:rPr>
          <w:rFonts w:cs="Arial Unicode MS" w:hint="cs"/>
          <w:cs/>
          <w:lang w:bidi="mr-IN"/>
        </w:rPr>
        <w:t xml:space="preserve">. </w:t>
      </w:r>
      <w:r>
        <w:rPr>
          <w:rFonts w:cs="Arial Unicode MS"/>
        </w:rPr>
        <w:t>It would use a form of interest analysis. The jurisdiction with an interest in its law applying applies. C</w:t>
      </w:r>
      <w:r w:rsidRPr="006A745C">
        <w:rPr>
          <w:rFonts w:cs="Arial Unicode MS"/>
        </w:rPr>
        <w:t>oncerning spousal immunity,</w:t>
      </w:r>
      <w:r>
        <w:rPr>
          <w:rFonts w:cs="Arial Unicode MS"/>
        </w:rPr>
        <w:t xml:space="preserve"> an interest analysis jurisdiction would apply</w:t>
      </w:r>
      <w:r w:rsidRPr="006A745C">
        <w:rPr>
          <w:rFonts w:cs="Arial Unicode MS"/>
        </w:rPr>
        <w:t xml:space="preserve"> the law of th</w:t>
      </w:r>
      <w:r>
        <w:rPr>
          <w:rFonts w:cs="Arial Unicode MS"/>
        </w:rPr>
        <w:t xml:space="preserve">e place of the marital domicile—here Georgia. The purpose of spousal immunity is encouraging marital harmony and protecting against spouses staging accidents to defraud insurance companies. Georgia is interested in its law applying in this case because there is a GA married couple whose harmony is at issue and a suit that, if fraudulent, would have most of its effects in GA. </w:t>
      </w:r>
      <w:proofErr w:type="gramStart"/>
      <w:r>
        <w:rPr>
          <w:rFonts w:cs="Arial Unicode MS"/>
        </w:rPr>
        <w:t>So</w:t>
      </w:r>
      <w:proofErr w:type="gramEnd"/>
      <w:r>
        <w:rPr>
          <w:rFonts w:cs="Arial Unicode MS"/>
        </w:rPr>
        <w:t xml:space="preserve"> a PA court would apply GA law and bar the husband’s action. (A CA court, which would also use an interested analysis approach, would do the same thing.)</w:t>
      </w:r>
      <w:r w:rsidRPr="006A745C">
        <w:rPr>
          <w:rFonts w:cs="Arial Unicode MS"/>
        </w:rPr>
        <w:br/>
      </w:r>
      <w:r w:rsidRPr="006A745C">
        <w:rPr>
          <w:rFonts w:cs="Arial Unicode MS"/>
        </w:rPr>
        <w:br/>
      </w:r>
    </w:p>
    <w:p w14:paraId="33D24616" w14:textId="77777777" w:rsidR="00B25FB8" w:rsidRDefault="00B25FB8" w:rsidP="00B25FB8">
      <w:pPr>
        <w:rPr>
          <w:rFonts w:cs="Arial Unicode MS"/>
        </w:rPr>
      </w:pPr>
      <w:r>
        <w:rPr>
          <w:rFonts w:cs="Arial Unicode MS"/>
        </w:rPr>
        <w:t xml:space="preserve">OK – that was choice of substantive law. </w:t>
      </w:r>
      <w:proofErr w:type="gramStart"/>
      <w:r>
        <w:rPr>
          <w:rFonts w:cs="Arial Unicode MS"/>
        </w:rPr>
        <w:t>But</w:t>
      </w:r>
      <w:proofErr w:type="gramEnd"/>
      <w:r>
        <w:rPr>
          <w:rFonts w:cs="Arial Unicode MS"/>
        </w:rPr>
        <w:t xml:space="preserve"> what about </w:t>
      </w:r>
      <w:r w:rsidRPr="00D10AF5">
        <w:rPr>
          <w:rFonts w:cs="Arial Unicode MS"/>
        </w:rPr>
        <w:t>horizontal (state-sta</w:t>
      </w:r>
      <w:r>
        <w:rPr>
          <w:rFonts w:cs="Arial Unicode MS"/>
        </w:rPr>
        <w:t>te) choice of “procedural” law. A</w:t>
      </w:r>
      <w:r w:rsidRPr="00D10AF5">
        <w:rPr>
          <w:rFonts w:cs="Arial Unicode MS"/>
        </w:rPr>
        <w:t>ssume a Virginia state court is entertaining a California wrongful death acti</w:t>
      </w:r>
      <w:r>
        <w:rPr>
          <w:rFonts w:cs="Arial Unicode MS"/>
        </w:rPr>
        <w:t>on. S</w:t>
      </w:r>
      <w:r w:rsidRPr="00D10AF5">
        <w:rPr>
          <w:rFonts w:cs="Arial Unicode MS"/>
        </w:rPr>
        <w:t>hould it u</w:t>
      </w:r>
      <w:r>
        <w:rPr>
          <w:rFonts w:cs="Arial Unicode MS"/>
        </w:rPr>
        <w:t xml:space="preserve">se Virginia’s or California’s: statute of limitation? </w:t>
      </w:r>
      <w:proofErr w:type="gramStart"/>
      <w:r>
        <w:rPr>
          <w:rFonts w:cs="Arial Unicode MS"/>
        </w:rPr>
        <w:t>service</w:t>
      </w:r>
      <w:proofErr w:type="gramEnd"/>
      <w:r>
        <w:rPr>
          <w:rFonts w:cs="Arial Unicode MS"/>
        </w:rPr>
        <w:t xml:space="preserve"> rules? </w:t>
      </w:r>
      <w:proofErr w:type="gramStart"/>
      <w:r w:rsidRPr="00D10AF5">
        <w:rPr>
          <w:rFonts w:cs="Arial Unicode MS"/>
        </w:rPr>
        <w:t>pleading</w:t>
      </w:r>
      <w:proofErr w:type="gramEnd"/>
      <w:r w:rsidRPr="00D10AF5">
        <w:rPr>
          <w:rFonts w:cs="Arial Unicode MS"/>
        </w:rPr>
        <w:t xml:space="preserve"> </w:t>
      </w:r>
      <w:r w:rsidRPr="00D10AF5">
        <w:rPr>
          <w:rFonts w:cs="Arial Unicode MS"/>
        </w:rPr>
        <w:lastRenderedPageBreak/>
        <w:t>standards?</w:t>
      </w:r>
      <w:r>
        <w:rPr>
          <w:rFonts w:cs="Arial Unicode MS"/>
        </w:rPr>
        <w:t xml:space="preserve"> In addressing this question I will use </w:t>
      </w:r>
      <w:r w:rsidRPr="003F03E8">
        <w:rPr>
          <w:rFonts w:cs="Arial Unicode MS"/>
        </w:rPr>
        <w:t xml:space="preserve">an understanding of a </w:t>
      </w:r>
      <w:proofErr w:type="gramStart"/>
      <w:r w:rsidRPr="003F03E8">
        <w:rPr>
          <w:rFonts w:cs="Arial Unicode MS"/>
        </w:rPr>
        <w:t>rule’s</w:t>
      </w:r>
      <w:proofErr w:type="gramEnd"/>
      <w:r w:rsidRPr="003F03E8">
        <w:rPr>
          <w:rFonts w:cs="Arial Unicode MS"/>
        </w:rPr>
        <w:t xml:space="preserve"> being substantive or procedural by looking to the views of the officials of the state that created the rule</w:t>
      </w:r>
      <w:r>
        <w:rPr>
          <w:rFonts w:cs="Arial Unicode MS"/>
        </w:rPr>
        <w:t xml:space="preserve">. A rule is “substantive” if </w:t>
      </w:r>
      <w:r w:rsidRPr="003F03E8">
        <w:rPr>
          <w:rFonts w:cs="Arial Unicode MS"/>
        </w:rPr>
        <w:t>the officials of the state that created the rule consider it part of the state’s cause of action, following those actions into other court systems</w:t>
      </w:r>
      <w:r>
        <w:rPr>
          <w:rFonts w:cs="Arial Unicode MS"/>
        </w:rPr>
        <w:t>. A rule is “procedural” if</w:t>
      </w:r>
      <w:r w:rsidRPr="003F03E8">
        <w:rPr>
          <w:rFonts w:cs="Arial Unicode MS"/>
        </w:rPr>
        <w:t xml:space="preserve"> the officials of the state that created the rule want it to apply only in the state’s own courts, including to causes of action under other states’ laws</w:t>
      </w:r>
      <w:r>
        <w:rPr>
          <w:rFonts w:cs="Arial Unicode MS"/>
        </w:rPr>
        <w:t>.</w:t>
      </w:r>
    </w:p>
    <w:p w14:paraId="24D7897E" w14:textId="387EDBF7" w:rsidR="00B25FB8" w:rsidRDefault="00B25FB8" w:rsidP="00B25FB8">
      <w:pPr>
        <w:rPr>
          <w:rFonts w:cs="Arial Unicode MS"/>
        </w:rPr>
      </w:pPr>
      <w:r>
        <w:rPr>
          <w:rFonts w:cs="Arial Unicode MS"/>
        </w:rPr>
        <w:t>So should our VA state court entertaining a CA wro</w:t>
      </w:r>
      <w:r w:rsidR="00133F1C">
        <w:rPr>
          <w:rFonts w:cs="Arial Unicode MS"/>
        </w:rPr>
        <w:t>ngful death action use CA’s wro</w:t>
      </w:r>
      <w:r>
        <w:rPr>
          <w:rFonts w:cs="Arial Unicode MS"/>
        </w:rPr>
        <w:t xml:space="preserve">ngful death </w:t>
      </w:r>
      <w:r w:rsidR="00133F1C">
        <w:rPr>
          <w:rFonts w:cs="Arial Unicode MS"/>
        </w:rPr>
        <w:t>statute of limitations or</w:t>
      </w:r>
      <w:r>
        <w:rPr>
          <w:rFonts w:cs="Arial Unicode MS"/>
        </w:rPr>
        <w:t xml:space="preserve"> its own? H</w:t>
      </w:r>
      <w:r w:rsidRPr="007D31B0">
        <w:rPr>
          <w:rFonts w:cs="Arial Unicode MS"/>
        </w:rPr>
        <w:t>ow can you tell whether a California statute of limitatio</w:t>
      </w:r>
      <w:r>
        <w:rPr>
          <w:rFonts w:cs="Arial Unicode MS"/>
        </w:rPr>
        <w:t>ns is substantive or procedural in the relevant sense? W</w:t>
      </w:r>
      <w:r w:rsidRPr="007D31B0">
        <w:rPr>
          <w:rFonts w:cs="Arial Unicode MS"/>
        </w:rPr>
        <w:t>ill there be any California state court decisions on point?</w:t>
      </w:r>
      <w:r>
        <w:rPr>
          <w:rFonts w:cs="Arial Unicode MS"/>
        </w:rPr>
        <w:t xml:space="preserve"> No-a CA state court has no occasion to talk about what other court systems should do with its statute of limitations. It only has occasion to talk about what it should do.</w:t>
      </w:r>
    </w:p>
    <w:p w14:paraId="7BC275E5" w14:textId="75C96EF7" w:rsidR="00B25FB8" w:rsidRDefault="00B25FB8" w:rsidP="00B25FB8">
      <w:pPr>
        <w:rPr>
          <w:rFonts w:cs="Arial Unicode MS"/>
        </w:rPr>
      </w:pPr>
      <w:r>
        <w:rPr>
          <w:rFonts w:cs="Arial Unicode MS"/>
        </w:rPr>
        <w:t xml:space="preserve">That said, we </w:t>
      </w:r>
      <w:proofErr w:type="gramStart"/>
      <w:r>
        <w:rPr>
          <w:rFonts w:cs="Arial Unicode MS"/>
        </w:rPr>
        <w:t>can</w:t>
      </w:r>
      <w:proofErr w:type="gramEnd"/>
      <w:r>
        <w:rPr>
          <w:rFonts w:cs="Arial Unicode MS"/>
        </w:rPr>
        <w:t xml:space="preserve"> get some indirect evidence. </w:t>
      </w:r>
    </w:p>
    <w:p w14:paraId="6E31CB33" w14:textId="77777777" w:rsidR="00B25FB8" w:rsidRDefault="00B25FB8" w:rsidP="00B25FB8">
      <w:pPr>
        <w:rPr>
          <w:rFonts w:cs="Arial Unicode MS"/>
        </w:rPr>
      </w:pPr>
      <w:r>
        <w:rPr>
          <w:rFonts w:cs="Arial Unicode MS"/>
        </w:rPr>
        <w:t xml:space="preserve">Imagine that </w:t>
      </w:r>
      <w:r w:rsidRPr="001B5B25">
        <w:rPr>
          <w:rFonts w:cs="Arial Unicode MS"/>
        </w:rPr>
        <w:t xml:space="preserve">California’s wrongful death statute </w:t>
      </w:r>
      <w:proofErr w:type="gramStart"/>
      <w:r w:rsidRPr="001B5B25">
        <w:rPr>
          <w:rFonts w:cs="Arial Unicode MS"/>
        </w:rPr>
        <w:t>says</w:t>
      </w:r>
      <w:proofErr w:type="gramEnd"/>
      <w:r w:rsidRPr="001B5B25">
        <w:rPr>
          <w:rFonts w:cs="Arial Unicode MS"/>
        </w:rPr>
        <w:t xml:space="preserve"> “a plaintiff may not sue for wrongful death under this statute more than 2 </w:t>
      </w:r>
      <w:r>
        <w:rPr>
          <w:rFonts w:cs="Arial Unicode MS"/>
        </w:rPr>
        <w:t>years after the death occurs.” That is reason to think that</w:t>
      </w:r>
      <w:r w:rsidRPr="001B5B25">
        <w:rPr>
          <w:rFonts w:cs="Arial Unicode MS"/>
        </w:rPr>
        <w:t xml:space="preserve"> California’s statute of limitations su</w:t>
      </w:r>
      <w:r>
        <w:rPr>
          <w:rFonts w:cs="Arial Unicode MS"/>
        </w:rPr>
        <w:t xml:space="preserve">bstantive in the relevant sense, because the limitation is in the statutory cause of action itself. On the other </w:t>
      </w:r>
      <w:proofErr w:type="gramStart"/>
      <w:r>
        <w:rPr>
          <w:rFonts w:cs="Arial Unicode MS"/>
        </w:rPr>
        <w:t>hand</w:t>
      </w:r>
      <w:proofErr w:type="gramEnd"/>
      <w:r>
        <w:rPr>
          <w:rFonts w:cs="Arial Unicode MS"/>
        </w:rPr>
        <w:t xml:space="preserve"> that is not dispositive. </w:t>
      </w:r>
    </w:p>
    <w:p w14:paraId="074D4ADB" w14:textId="77777777" w:rsidR="00B25FB8" w:rsidRDefault="00B25FB8" w:rsidP="00B25FB8">
      <w:pPr>
        <w:rPr>
          <w:rFonts w:cs="Arial Unicode MS"/>
        </w:rPr>
      </w:pPr>
      <w:r>
        <w:rPr>
          <w:rFonts w:cs="Arial Unicode MS"/>
        </w:rPr>
        <w:t>One might also look to the purposes of CA’s statute of limitations. To the extent that it is about protecting the repose of defendants, it might be substantive. To the extent that it is about avoiding stale evidence, it might be procedural.</w:t>
      </w:r>
    </w:p>
    <w:p w14:paraId="3B3D799E" w14:textId="4BB2EA92" w:rsidR="00B25FB8" w:rsidRDefault="00B25FB8" w:rsidP="00B25FB8">
      <w:pPr>
        <w:rPr>
          <w:rFonts w:cs="Arial Unicode MS"/>
        </w:rPr>
      </w:pPr>
      <w:r>
        <w:rPr>
          <w:rFonts w:cs="Arial Unicode MS"/>
        </w:rPr>
        <w:t xml:space="preserve">The point is that it is very hard to get any idea of whether a rule is substantive or procedural without certifying the question to the relevant state </w:t>
      </w:r>
      <w:proofErr w:type="spellStart"/>
      <w:r>
        <w:rPr>
          <w:rFonts w:cs="Arial Unicode MS"/>
        </w:rPr>
        <w:t>SCt</w:t>
      </w:r>
      <w:proofErr w:type="spellEnd"/>
      <w:r>
        <w:rPr>
          <w:rFonts w:cs="Arial Unicode MS"/>
        </w:rPr>
        <w:t>.</w:t>
      </w:r>
    </w:p>
    <w:p w14:paraId="29DDD229" w14:textId="2183831F" w:rsidR="00133F1C" w:rsidRDefault="00133F1C" w:rsidP="00B25FB8">
      <w:pPr>
        <w:rPr>
          <w:rFonts w:cs="Arial Unicode MS"/>
        </w:rPr>
      </w:pPr>
      <w:r>
        <w:rPr>
          <w:rFonts w:cs="Arial Unicode MS"/>
        </w:rPr>
        <w:t>Some states look take the scrupulous approach and do their best to determine what the sister state would want</w:t>
      </w:r>
    </w:p>
    <w:p w14:paraId="4D4A0A90" w14:textId="79B424FE" w:rsidR="00133F1C" w:rsidRDefault="00133F1C" w:rsidP="00B25FB8">
      <w:pPr>
        <w:rPr>
          <w:rFonts w:cs="Arial Unicode MS"/>
        </w:rPr>
      </w:pPr>
      <w:proofErr w:type="gramStart"/>
      <w:r>
        <w:rPr>
          <w:rFonts w:cs="Arial Unicode MS"/>
        </w:rPr>
        <w:t>others</w:t>
      </w:r>
      <w:proofErr w:type="gramEnd"/>
      <w:r>
        <w:rPr>
          <w:rFonts w:cs="Arial Unicode MS"/>
        </w:rPr>
        <w:t xml:space="preserve"> use a more formalistic approach </w:t>
      </w:r>
    </w:p>
    <w:p w14:paraId="406F75DE" w14:textId="77777777" w:rsidR="00B25FB8" w:rsidRDefault="00B25FB8" w:rsidP="00B25FB8">
      <w:pPr>
        <w:rPr>
          <w:rFonts w:cs="Arial Unicode MS"/>
        </w:rPr>
      </w:pPr>
      <w:r>
        <w:rPr>
          <w:rFonts w:cs="Arial Unicode MS"/>
        </w:rPr>
        <w:t xml:space="preserve">OK now let us move on to </w:t>
      </w:r>
      <w:r w:rsidRPr="00A0231E">
        <w:rPr>
          <w:rFonts w:cs="Arial Unicode MS"/>
        </w:rPr>
        <w:t>conflicts of substance and procedure</w:t>
      </w:r>
      <w:r>
        <w:rPr>
          <w:rFonts w:cs="Arial Unicode MS"/>
        </w:rPr>
        <w:t xml:space="preserve">. Imagine </w:t>
      </w:r>
      <w:r w:rsidRPr="00721A42">
        <w:rPr>
          <w:rFonts w:cs="Arial Unicode MS"/>
        </w:rPr>
        <w:t>P sues D in Virginia state court under California law for wrongful death 2.5 years after the death</w:t>
      </w:r>
      <w:r>
        <w:rPr>
          <w:rFonts w:cs="Arial Unicode MS"/>
        </w:rPr>
        <w:t>. Consider the following scenarios</w:t>
      </w:r>
      <w:proofErr w:type="gramStart"/>
      <w:r>
        <w:rPr>
          <w:rFonts w:cs="Arial Unicode MS"/>
        </w:rPr>
        <w:t>:</w:t>
      </w:r>
      <w:proofErr w:type="gramEnd"/>
      <w:r w:rsidRPr="00721A42">
        <w:rPr>
          <w:rFonts w:cs="Arial Unicode MS"/>
        </w:rPr>
        <w:br/>
      </w:r>
      <w:r w:rsidRPr="00721A42">
        <w:rPr>
          <w:rFonts w:cs="Arial Unicode MS"/>
        </w:rPr>
        <w:br/>
      </w:r>
      <w:proofErr w:type="spellStart"/>
      <w:r w:rsidRPr="00721A42">
        <w:rPr>
          <w:rFonts w:cs="Arial Unicode MS"/>
        </w:rPr>
        <w:t>Va’s</w:t>
      </w:r>
      <w:proofErr w:type="spellEnd"/>
      <w:r w:rsidRPr="00721A42">
        <w:rPr>
          <w:rFonts w:cs="Arial Unicode MS"/>
        </w:rPr>
        <w:t xml:space="preserve"> WD time limitation</w:t>
      </w:r>
      <w:r>
        <w:rPr>
          <w:rFonts w:cs="Arial Unicode MS"/>
        </w:rPr>
        <w:t xml:space="preserve"> </w:t>
      </w:r>
      <w:r w:rsidRPr="00721A42">
        <w:rPr>
          <w:rFonts w:cs="Arial Unicode MS"/>
        </w:rPr>
        <w:t>2-yr substantive</w:t>
      </w:r>
      <w:r>
        <w:rPr>
          <w:rFonts w:cs="Arial Unicode MS"/>
        </w:rPr>
        <w:t xml:space="preserve"> &amp; </w:t>
      </w:r>
      <w:r w:rsidRPr="00721A42">
        <w:rPr>
          <w:rFonts w:cs="Arial Unicode MS"/>
        </w:rPr>
        <w:t>Ca’s WD time limitation</w:t>
      </w:r>
      <w:r>
        <w:rPr>
          <w:rFonts w:cs="Arial Unicode MS"/>
        </w:rPr>
        <w:t xml:space="preserve"> </w:t>
      </w:r>
      <w:r w:rsidRPr="00721A42">
        <w:rPr>
          <w:rFonts w:cs="Arial Unicode MS"/>
        </w:rPr>
        <w:t>3-yr substantive</w:t>
      </w:r>
      <w:r>
        <w:rPr>
          <w:rFonts w:cs="Arial Unicode MS"/>
        </w:rPr>
        <w:t xml:space="preserve">? In this case the case proceeds—only CA’s rule applies. </w:t>
      </w:r>
      <w:r w:rsidRPr="00721A42">
        <w:rPr>
          <w:rFonts w:cs="Arial Unicode MS"/>
        </w:rPr>
        <w:br/>
      </w:r>
    </w:p>
    <w:p w14:paraId="0F09ACD4" w14:textId="77777777" w:rsidR="00B25FB8" w:rsidRDefault="00B25FB8" w:rsidP="00B25FB8">
      <w:pPr>
        <w:rPr>
          <w:rFonts w:cs="Arial Unicode MS"/>
        </w:rPr>
      </w:pPr>
      <w:proofErr w:type="spellStart"/>
      <w:proofErr w:type="gramStart"/>
      <w:r w:rsidRPr="00721A42">
        <w:rPr>
          <w:rFonts w:cs="Arial Unicode MS"/>
        </w:rPr>
        <w:t>Va’s</w:t>
      </w:r>
      <w:proofErr w:type="spellEnd"/>
      <w:proofErr w:type="gramEnd"/>
      <w:r w:rsidRPr="00721A42">
        <w:rPr>
          <w:rFonts w:cs="Arial Unicode MS"/>
        </w:rPr>
        <w:t xml:space="preserve"> WD time limitation</w:t>
      </w:r>
      <w:r>
        <w:rPr>
          <w:rFonts w:cs="Arial Unicode MS"/>
        </w:rPr>
        <w:t xml:space="preserve"> </w:t>
      </w:r>
      <w:r w:rsidRPr="00721A42">
        <w:rPr>
          <w:rFonts w:cs="Arial Unicode MS"/>
        </w:rPr>
        <w:t>2-yr procedural</w:t>
      </w:r>
      <w:r>
        <w:rPr>
          <w:rFonts w:cs="Arial Unicode MS"/>
        </w:rPr>
        <w:t xml:space="preserve"> &amp; </w:t>
      </w:r>
      <w:r w:rsidRPr="00721A42">
        <w:rPr>
          <w:rFonts w:cs="Arial Unicode MS"/>
        </w:rPr>
        <w:t>Ca’s WD time limitation</w:t>
      </w:r>
      <w:r>
        <w:rPr>
          <w:rFonts w:cs="Arial Unicode MS"/>
        </w:rPr>
        <w:t xml:space="preserve"> </w:t>
      </w:r>
      <w:r w:rsidRPr="00721A42">
        <w:rPr>
          <w:rFonts w:cs="Arial Unicode MS"/>
        </w:rPr>
        <w:t>3-yr procedural</w:t>
      </w:r>
      <w:r>
        <w:rPr>
          <w:rFonts w:cs="Arial Unicode MS"/>
        </w:rPr>
        <w:t xml:space="preserve">? In this </w:t>
      </w:r>
      <w:proofErr w:type="gramStart"/>
      <w:r>
        <w:rPr>
          <w:rFonts w:cs="Arial Unicode MS"/>
        </w:rPr>
        <w:t>case</w:t>
      </w:r>
      <w:proofErr w:type="gramEnd"/>
      <w:r>
        <w:rPr>
          <w:rFonts w:cs="Arial Unicode MS"/>
        </w:rPr>
        <w:t xml:space="preserve"> the case is dismissed—only VA’s rule applies.</w:t>
      </w:r>
      <w:r w:rsidRPr="00721A42">
        <w:rPr>
          <w:rFonts w:cs="Arial Unicode MS"/>
        </w:rPr>
        <w:br/>
      </w:r>
      <w:r w:rsidRPr="00721A42">
        <w:rPr>
          <w:rFonts w:cs="Arial Unicode MS"/>
        </w:rPr>
        <w:tab/>
      </w:r>
    </w:p>
    <w:p w14:paraId="0137F911" w14:textId="77777777" w:rsidR="00B25FB8" w:rsidRDefault="00B25FB8" w:rsidP="00B25FB8">
      <w:pPr>
        <w:rPr>
          <w:rFonts w:cs="Arial Unicode MS"/>
        </w:rPr>
      </w:pPr>
      <w:proofErr w:type="spellStart"/>
      <w:proofErr w:type="gramStart"/>
      <w:r w:rsidRPr="00721A42">
        <w:rPr>
          <w:rFonts w:cs="Arial Unicode MS"/>
        </w:rPr>
        <w:t>Va’s</w:t>
      </w:r>
      <w:proofErr w:type="spellEnd"/>
      <w:proofErr w:type="gramEnd"/>
      <w:r w:rsidRPr="00721A42">
        <w:rPr>
          <w:rFonts w:cs="Arial Unicode MS"/>
        </w:rPr>
        <w:t xml:space="preserve"> WD time limitation</w:t>
      </w:r>
      <w:r>
        <w:rPr>
          <w:rFonts w:cs="Arial Unicode MS"/>
        </w:rPr>
        <w:t xml:space="preserve"> </w:t>
      </w:r>
      <w:r w:rsidRPr="00721A42">
        <w:rPr>
          <w:rFonts w:cs="Arial Unicode MS"/>
        </w:rPr>
        <w:t>2-yr procedural</w:t>
      </w:r>
      <w:r>
        <w:rPr>
          <w:rFonts w:cs="Arial Unicode MS"/>
        </w:rPr>
        <w:t xml:space="preserve"> &amp; </w:t>
      </w:r>
      <w:r w:rsidRPr="00721A42">
        <w:rPr>
          <w:rFonts w:cs="Arial Unicode MS"/>
        </w:rPr>
        <w:t>Ca’s WD time limitation</w:t>
      </w:r>
      <w:r>
        <w:rPr>
          <w:rFonts w:cs="Arial Unicode MS"/>
        </w:rPr>
        <w:t xml:space="preserve"> </w:t>
      </w:r>
      <w:r w:rsidRPr="00721A42">
        <w:rPr>
          <w:rFonts w:cs="Arial Unicode MS"/>
        </w:rPr>
        <w:t>3-yr substantive</w:t>
      </w:r>
      <w:r>
        <w:rPr>
          <w:rFonts w:cs="Arial Unicode MS"/>
        </w:rPr>
        <w:t xml:space="preserve">? In this </w:t>
      </w:r>
      <w:proofErr w:type="gramStart"/>
      <w:r>
        <w:rPr>
          <w:rFonts w:cs="Arial Unicode MS"/>
        </w:rPr>
        <w:t>case</w:t>
      </w:r>
      <w:proofErr w:type="gramEnd"/>
      <w:r>
        <w:rPr>
          <w:rFonts w:cs="Arial Unicode MS"/>
        </w:rPr>
        <w:t xml:space="preserve"> both apply. Is there really a conflict though? What would happen is that VA </w:t>
      </w:r>
      <w:proofErr w:type="spellStart"/>
      <w:r>
        <w:rPr>
          <w:rFonts w:cs="Arial Unicode MS"/>
        </w:rPr>
        <w:t>ct</w:t>
      </w:r>
      <w:proofErr w:type="spellEnd"/>
      <w:r>
        <w:rPr>
          <w:rFonts w:cs="Arial Unicode MS"/>
        </w:rPr>
        <w:t xml:space="preserve"> would dismiss the action but generally would do so without prejudice so it </w:t>
      </w:r>
      <w:proofErr w:type="gramStart"/>
      <w:r>
        <w:rPr>
          <w:rFonts w:cs="Arial Unicode MS"/>
        </w:rPr>
        <w:t>can be brought</w:t>
      </w:r>
      <w:proofErr w:type="gramEnd"/>
      <w:r>
        <w:rPr>
          <w:rFonts w:cs="Arial Unicode MS"/>
        </w:rPr>
        <w:t xml:space="preserve"> in a court system with a longer statute of limitations. </w:t>
      </w:r>
      <w:r w:rsidRPr="00721A42">
        <w:rPr>
          <w:rFonts w:cs="Arial Unicode MS"/>
        </w:rPr>
        <w:br/>
      </w:r>
      <w:r w:rsidRPr="00721A42">
        <w:rPr>
          <w:rFonts w:cs="Arial Unicode MS"/>
        </w:rPr>
        <w:tab/>
      </w:r>
      <w:r w:rsidRPr="00721A42">
        <w:rPr>
          <w:rFonts w:cs="Arial Unicode MS"/>
        </w:rPr>
        <w:tab/>
      </w:r>
      <w:r w:rsidRPr="00721A42">
        <w:rPr>
          <w:rFonts w:cs="Arial Unicode MS"/>
        </w:rPr>
        <w:tab/>
      </w:r>
      <w:r w:rsidRPr="00721A42">
        <w:rPr>
          <w:rFonts w:cs="Arial Unicode MS"/>
        </w:rPr>
        <w:tab/>
      </w:r>
      <w:r w:rsidRPr="00721A42">
        <w:rPr>
          <w:rFonts w:cs="Arial Unicode MS"/>
        </w:rPr>
        <w:tab/>
      </w:r>
      <w:r w:rsidRPr="00721A42">
        <w:rPr>
          <w:rFonts w:cs="Arial Unicode MS"/>
        </w:rPr>
        <w:br/>
      </w:r>
      <w:proofErr w:type="spellStart"/>
      <w:proofErr w:type="gramStart"/>
      <w:r w:rsidRPr="00721A42">
        <w:rPr>
          <w:rFonts w:cs="Arial Unicode MS"/>
        </w:rPr>
        <w:t>Va’s</w:t>
      </w:r>
      <w:proofErr w:type="spellEnd"/>
      <w:proofErr w:type="gramEnd"/>
      <w:r w:rsidRPr="00721A42">
        <w:rPr>
          <w:rFonts w:cs="Arial Unicode MS"/>
        </w:rPr>
        <w:t xml:space="preserve"> WD time limitation</w:t>
      </w:r>
      <w:r>
        <w:rPr>
          <w:rFonts w:cs="Arial Unicode MS"/>
        </w:rPr>
        <w:t xml:space="preserve"> 3</w:t>
      </w:r>
      <w:r w:rsidRPr="00721A42">
        <w:rPr>
          <w:rFonts w:cs="Arial Unicode MS"/>
        </w:rPr>
        <w:t>-yr procedural</w:t>
      </w:r>
      <w:r>
        <w:rPr>
          <w:rFonts w:cs="Arial Unicode MS"/>
        </w:rPr>
        <w:t xml:space="preserve"> &amp; </w:t>
      </w:r>
      <w:r w:rsidRPr="00721A42">
        <w:rPr>
          <w:rFonts w:cs="Arial Unicode MS"/>
        </w:rPr>
        <w:t>Ca’s WD time limitation</w:t>
      </w:r>
      <w:r>
        <w:rPr>
          <w:rFonts w:cs="Arial Unicode MS"/>
        </w:rPr>
        <w:t xml:space="preserve"> 2</w:t>
      </w:r>
      <w:r w:rsidRPr="00721A42">
        <w:rPr>
          <w:rFonts w:cs="Arial Unicode MS"/>
        </w:rPr>
        <w:t>-yr substantive</w:t>
      </w:r>
      <w:r>
        <w:rPr>
          <w:rFonts w:cs="Arial Unicode MS"/>
        </w:rPr>
        <w:t xml:space="preserve">? In this </w:t>
      </w:r>
      <w:proofErr w:type="gramStart"/>
      <w:r>
        <w:rPr>
          <w:rFonts w:cs="Arial Unicode MS"/>
        </w:rPr>
        <w:lastRenderedPageBreak/>
        <w:t>case</w:t>
      </w:r>
      <w:proofErr w:type="gramEnd"/>
      <w:r>
        <w:rPr>
          <w:rFonts w:cs="Arial Unicode MS"/>
        </w:rPr>
        <w:t xml:space="preserve"> both apply and there really is a conflict. To apply the VA rule would mean allowing the case to proceed, but that is contrary to CA’s substantive rule.  In this </w:t>
      </w:r>
      <w:proofErr w:type="gramStart"/>
      <w:r>
        <w:rPr>
          <w:rFonts w:cs="Arial Unicode MS"/>
        </w:rPr>
        <w:t>case</w:t>
      </w:r>
      <w:proofErr w:type="gramEnd"/>
      <w:r>
        <w:rPr>
          <w:rFonts w:cs="Arial Unicode MS"/>
        </w:rPr>
        <w:t xml:space="preserve"> state courts generally allow substance to trump procedure. We do not know if that is their constitutional obligation though. </w:t>
      </w:r>
    </w:p>
    <w:p w14:paraId="5B5AAF8E" w14:textId="77777777" w:rsidR="00B25FB8" w:rsidRDefault="00B25FB8" w:rsidP="00B25FB8">
      <w:pPr>
        <w:rPr>
          <w:rFonts w:cs="Arial Unicode MS"/>
        </w:rPr>
      </w:pPr>
      <w:r w:rsidRPr="00721A42">
        <w:rPr>
          <w:rFonts w:cs="Arial Unicode MS"/>
        </w:rPr>
        <w:br/>
      </w:r>
      <w:proofErr w:type="spellStart"/>
      <w:proofErr w:type="gramStart"/>
      <w:r w:rsidRPr="00721A42">
        <w:rPr>
          <w:rFonts w:cs="Arial Unicode MS"/>
        </w:rPr>
        <w:t>Va’s</w:t>
      </w:r>
      <w:proofErr w:type="spellEnd"/>
      <w:proofErr w:type="gramEnd"/>
      <w:r w:rsidRPr="00721A42">
        <w:rPr>
          <w:rFonts w:cs="Arial Unicode MS"/>
        </w:rPr>
        <w:t xml:space="preserve"> WD time limitation</w:t>
      </w:r>
      <w:r>
        <w:rPr>
          <w:rFonts w:cs="Arial Unicode MS"/>
        </w:rPr>
        <w:t xml:space="preserve"> 2</w:t>
      </w:r>
      <w:r w:rsidRPr="00721A42">
        <w:rPr>
          <w:rFonts w:cs="Arial Unicode MS"/>
        </w:rPr>
        <w:t>-yr substantive</w:t>
      </w:r>
      <w:r>
        <w:rPr>
          <w:rFonts w:cs="Arial Unicode MS"/>
        </w:rPr>
        <w:t xml:space="preserve"> &amp; </w:t>
      </w:r>
      <w:r w:rsidRPr="00721A42">
        <w:rPr>
          <w:rFonts w:cs="Arial Unicode MS"/>
        </w:rPr>
        <w:t>Ca’s WD time limitation</w:t>
      </w:r>
      <w:r>
        <w:rPr>
          <w:rFonts w:cs="Arial Unicode MS"/>
        </w:rPr>
        <w:t xml:space="preserve"> 3</w:t>
      </w:r>
      <w:r w:rsidRPr="00721A42">
        <w:rPr>
          <w:rFonts w:cs="Arial Unicode MS"/>
        </w:rPr>
        <w:t>-yr procedural</w:t>
      </w:r>
      <w:r>
        <w:rPr>
          <w:rFonts w:cs="Arial Unicode MS"/>
        </w:rPr>
        <w:t xml:space="preserve">? In </w:t>
      </w:r>
      <w:proofErr w:type="gramStart"/>
      <w:r>
        <w:rPr>
          <w:rFonts w:cs="Arial Unicode MS"/>
        </w:rPr>
        <w:t>this</w:t>
      </w:r>
      <w:proofErr w:type="gramEnd"/>
      <w:r>
        <w:rPr>
          <w:rFonts w:cs="Arial Unicode MS"/>
        </w:rPr>
        <w:t xml:space="preserve"> neither applies. Huh? That would mean that the plaintiff could sue decades later. It is for this reason that all states have a catch all procedural limitations period to capture actions that would otherwise fall through the cracks.</w:t>
      </w:r>
    </w:p>
    <w:p w14:paraId="410DC523" w14:textId="77777777" w:rsidR="00B25FB8" w:rsidRDefault="00B25FB8" w:rsidP="00B25FB8">
      <w:pPr>
        <w:rPr>
          <w:rFonts w:cs="Arial Unicode MS"/>
        </w:rPr>
      </w:pPr>
      <w:r>
        <w:rPr>
          <w:rFonts w:cs="Arial Unicode MS"/>
        </w:rPr>
        <w:t xml:space="preserve">Does forum procedure always yield to sister state substance…? Assume </w:t>
      </w:r>
      <w:r w:rsidRPr="00432509">
        <w:rPr>
          <w:rFonts w:cs="Arial Unicode MS"/>
        </w:rPr>
        <w:t>P sues D in Virginia state court under Cal</w:t>
      </w:r>
      <w:r>
        <w:rPr>
          <w:rFonts w:cs="Arial Unicode MS"/>
        </w:rPr>
        <w:t xml:space="preserve">ifornia law for wrongful death. </w:t>
      </w:r>
      <w:r w:rsidRPr="00432509">
        <w:rPr>
          <w:rFonts w:cs="Arial Unicode MS"/>
        </w:rPr>
        <w:t>California has a service rule that it considers bound up w</w:t>
      </w:r>
      <w:r>
        <w:rPr>
          <w:rFonts w:cs="Arial Unicode MS"/>
        </w:rPr>
        <w:t>ith its wrongful death statute. M</w:t>
      </w:r>
      <w:r w:rsidRPr="00432509">
        <w:rPr>
          <w:rFonts w:cs="Arial Unicode MS"/>
        </w:rPr>
        <w:t xml:space="preserve">ust Virginia law </w:t>
      </w:r>
      <w:r>
        <w:rPr>
          <w:rFonts w:cs="Arial Unicode MS"/>
        </w:rPr>
        <w:t xml:space="preserve">procedural law </w:t>
      </w:r>
      <w:r w:rsidRPr="00432509">
        <w:rPr>
          <w:rFonts w:cs="Arial Unicode MS"/>
        </w:rPr>
        <w:t>yield to it?</w:t>
      </w:r>
      <w:r>
        <w:rPr>
          <w:rFonts w:cs="Arial Unicode MS"/>
        </w:rPr>
        <w:t xml:space="preserve"> That seems unlikely. That helps explain why service rules </w:t>
      </w:r>
      <w:proofErr w:type="gramStart"/>
      <w:r>
        <w:rPr>
          <w:rFonts w:cs="Arial Unicode MS"/>
        </w:rPr>
        <w:t>are always considered</w:t>
      </w:r>
      <w:proofErr w:type="gramEnd"/>
      <w:r>
        <w:rPr>
          <w:rFonts w:cs="Arial Unicode MS"/>
        </w:rPr>
        <w:t xml:space="preserve"> </w:t>
      </w:r>
      <w:r w:rsidRPr="002E5647">
        <w:rPr>
          <w:rFonts w:cs="Arial Unicode MS"/>
        </w:rPr>
        <w:t>procedural</w:t>
      </w:r>
      <w:r>
        <w:rPr>
          <w:rFonts w:cs="Arial Unicode MS"/>
        </w:rPr>
        <w:t xml:space="preserve">. Most statues consider them procedural and even if there were a state (like CA in our example) that considered its substantive, the forum would apply its own procedural service rules anyway. </w:t>
      </w:r>
    </w:p>
    <w:p w14:paraId="485099E5" w14:textId="77777777" w:rsidR="00B25FB8" w:rsidRDefault="00B25FB8" w:rsidP="00B25FB8">
      <w:pPr>
        <w:rPr>
          <w:rFonts w:cs="Arial Unicode MS"/>
        </w:rPr>
      </w:pPr>
      <w:r>
        <w:rPr>
          <w:rFonts w:cs="Arial Unicode MS"/>
        </w:rPr>
        <w:t xml:space="preserve">Matters are different for statutes of limitations. They were generally considered presumptively procedural, </w:t>
      </w:r>
      <w:r w:rsidRPr="00C4055E">
        <w:rPr>
          <w:rFonts w:cs="Arial Unicode MS"/>
        </w:rPr>
        <w:t xml:space="preserve">but </w:t>
      </w:r>
      <w:r>
        <w:rPr>
          <w:rFonts w:cs="Arial Unicode MS"/>
        </w:rPr>
        <w:t xml:space="preserve">an examination of a state’s limitation period could lead one to conclude that it is </w:t>
      </w:r>
      <w:r w:rsidRPr="00C4055E">
        <w:rPr>
          <w:rFonts w:cs="Arial Unicode MS"/>
        </w:rPr>
        <w:t xml:space="preserve">substantive, </w:t>
      </w:r>
      <w:r>
        <w:rPr>
          <w:rFonts w:cs="Arial Unicode MS"/>
        </w:rPr>
        <w:t>in which case the</w:t>
      </w:r>
      <w:r w:rsidRPr="00C4055E">
        <w:rPr>
          <w:rFonts w:cs="Arial Unicode MS"/>
        </w:rPr>
        <w:t xml:space="preserve"> forum</w:t>
      </w:r>
      <w:r>
        <w:rPr>
          <w:rFonts w:cs="Arial Unicode MS"/>
        </w:rPr>
        <w:t>’s procedural statute of limitations would yield to it in the event of a true conflict (namely when the substantive one is shorter that the forum’s procedural one).</w:t>
      </w:r>
    </w:p>
    <w:p w14:paraId="572CB949" w14:textId="77777777" w:rsidR="00B25FB8" w:rsidRDefault="00B25FB8" w:rsidP="00B25FB8">
      <w:pPr>
        <w:rPr>
          <w:rFonts w:cs="Arial Unicode MS"/>
        </w:rPr>
      </w:pPr>
      <w:r>
        <w:rPr>
          <w:rFonts w:cs="Arial Unicode MS"/>
        </w:rPr>
        <w:t xml:space="preserve">How about this example? </w:t>
      </w:r>
      <w:r w:rsidRPr="00BE7A26">
        <w:rPr>
          <w:rFonts w:cs="Arial Unicode MS"/>
        </w:rPr>
        <w:t>P sues D in stat</w:t>
      </w:r>
      <w:bookmarkStart w:id="0" w:name="_GoBack"/>
      <w:bookmarkEnd w:id="0"/>
      <w:r w:rsidRPr="00BE7A26">
        <w:rPr>
          <w:rFonts w:cs="Arial Unicode MS"/>
        </w:rPr>
        <w:t>e court in Virginia</w:t>
      </w:r>
      <w:r>
        <w:rPr>
          <w:rFonts w:cs="Arial Unicode MS"/>
        </w:rPr>
        <w:t xml:space="preserve"> under New York negligence law. </w:t>
      </w:r>
      <w:r w:rsidRPr="00BE7A26">
        <w:rPr>
          <w:rFonts w:cs="Arial Unicode MS"/>
        </w:rPr>
        <w:t>New York law puts the burden of proof on the plaintiff to show his lack of contributory negligenc</w:t>
      </w:r>
      <w:r>
        <w:rPr>
          <w:rFonts w:cs="Arial Unicode MS"/>
        </w:rPr>
        <w:t>e. U</w:t>
      </w:r>
      <w:r w:rsidRPr="00BE7A26">
        <w:rPr>
          <w:rFonts w:cs="Arial Unicode MS"/>
        </w:rPr>
        <w:t xml:space="preserve">nder </w:t>
      </w:r>
      <w:proofErr w:type="gramStart"/>
      <w:r w:rsidRPr="00BE7A26">
        <w:rPr>
          <w:rFonts w:cs="Arial Unicode MS"/>
        </w:rPr>
        <w:t>Virginia</w:t>
      </w:r>
      <w:proofErr w:type="gramEnd"/>
      <w:r w:rsidRPr="00BE7A26">
        <w:rPr>
          <w:rFonts w:cs="Arial Unicode MS"/>
        </w:rPr>
        <w:t xml:space="preserve"> law contributory neglig</w:t>
      </w:r>
      <w:r>
        <w:rPr>
          <w:rFonts w:cs="Arial Unicode MS"/>
        </w:rPr>
        <w:t xml:space="preserve">ence is an affirmative defense. Here you have to determine whether NY’s rule is substantive, following their negligence actions into other court systems. The reasons to think that NY officials would want their burden of proof to follow NY negligence actions into other court systems are strong. That is why burdens of proof are general considered </w:t>
      </w:r>
      <w:r w:rsidRPr="000117B1">
        <w:rPr>
          <w:rFonts w:cs="Arial Unicode MS"/>
        </w:rPr>
        <w:t>presumptively substantive</w:t>
      </w:r>
      <w:r>
        <w:rPr>
          <w:rFonts w:cs="Arial Unicode MS"/>
        </w:rPr>
        <w:t xml:space="preserve">, although it is possible that evidence could show them to be procedural. </w:t>
      </w:r>
    </w:p>
    <w:p w14:paraId="69CD1037" w14:textId="77777777" w:rsidR="00B25FB8" w:rsidRDefault="00B25FB8" w:rsidP="00B25FB8">
      <w:pPr>
        <w:rPr>
          <w:rFonts w:cs="Arial Unicode MS"/>
        </w:rPr>
      </w:pPr>
      <w:r>
        <w:rPr>
          <w:rFonts w:cs="Arial Unicode MS"/>
        </w:rPr>
        <w:t xml:space="preserve">We have been speaking of a court applying a system state rule because it considers that rule </w:t>
      </w:r>
      <w:proofErr w:type="gramStart"/>
      <w:r>
        <w:rPr>
          <w:rFonts w:cs="Arial Unicode MS"/>
        </w:rPr>
        <w:t>to be substantive</w:t>
      </w:r>
      <w:proofErr w:type="gramEnd"/>
      <w:r>
        <w:rPr>
          <w:rFonts w:cs="Arial Unicode MS"/>
        </w:rPr>
        <w:t xml:space="preserve">. That is about respect for the sister </w:t>
      </w:r>
      <w:proofErr w:type="gramStart"/>
      <w:r>
        <w:rPr>
          <w:rFonts w:cs="Arial Unicode MS"/>
        </w:rPr>
        <w:t>state’s officials’</w:t>
      </w:r>
      <w:proofErr w:type="gramEnd"/>
      <w:r>
        <w:rPr>
          <w:rFonts w:cs="Arial Unicode MS"/>
        </w:rPr>
        <w:t xml:space="preserve"> views about their law. </w:t>
      </w:r>
      <w:proofErr w:type="gramStart"/>
      <w:r>
        <w:rPr>
          <w:rFonts w:cs="Arial Unicode MS"/>
        </w:rPr>
        <w:t>But</w:t>
      </w:r>
      <w:proofErr w:type="gramEnd"/>
      <w:r>
        <w:rPr>
          <w:rFonts w:cs="Arial Unicode MS"/>
        </w:rPr>
        <w:t xml:space="preserve"> sometimes a state court will use a standard from sister state law for its own purposes. It </w:t>
      </w:r>
      <w:proofErr w:type="gramStart"/>
      <w:r>
        <w:rPr>
          <w:rFonts w:cs="Arial Unicode MS"/>
        </w:rPr>
        <w:t>will  incorporate</w:t>
      </w:r>
      <w:proofErr w:type="gramEnd"/>
      <w:r w:rsidRPr="005C40AA">
        <w:rPr>
          <w:rFonts w:cs="Arial Unicode MS"/>
        </w:rPr>
        <w:t xml:space="preserve"> a standard from another jurisdiction’s law into forum law</w:t>
      </w:r>
      <w:r>
        <w:rPr>
          <w:rFonts w:cs="Arial Unicode MS"/>
        </w:rPr>
        <w:t xml:space="preserve">. Assume </w:t>
      </w:r>
      <w:r w:rsidRPr="00E175ED">
        <w:rPr>
          <w:rFonts w:cs="Arial Unicode MS"/>
        </w:rPr>
        <w:t xml:space="preserve">Virginia state courts have a generous </w:t>
      </w:r>
      <w:proofErr w:type="gramStart"/>
      <w:r w:rsidRPr="00E175ED">
        <w:rPr>
          <w:rFonts w:cs="Arial Unicode MS"/>
        </w:rPr>
        <w:t>3 year</w:t>
      </w:r>
      <w:proofErr w:type="gramEnd"/>
      <w:r w:rsidRPr="00E175ED">
        <w:rPr>
          <w:rFonts w:cs="Arial Unicode MS"/>
        </w:rPr>
        <w:t xml:space="preserve"> s</w:t>
      </w:r>
      <w:r>
        <w:rPr>
          <w:rFonts w:cs="Arial Unicode MS"/>
        </w:rPr>
        <w:t>tatute of limitations for tort. T</w:t>
      </w:r>
      <w:r w:rsidRPr="00E175ED">
        <w:rPr>
          <w:rFonts w:cs="Arial Unicode MS"/>
        </w:rPr>
        <w:t xml:space="preserve">oo many people are coming to Va. state court to sue under </w:t>
      </w:r>
      <w:r>
        <w:rPr>
          <w:rFonts w:cs="Arial Unicode MS"/>
        </w:rPr>
        <w:t>sister state causes of action, s</w:t>
      </w:r>
      <w:r w:rsidRPr="00E175ED">
        <w:rPr>
          <w:rFonts w:cs="Arial Unicode MS"/>
        </w:rPr>
        <w:t>o Virginia enacts a borrowing statute</w:t>
      </w:r>
      <w:proofErr w:type="gramStart"/>
      <w:r w:rsidRPr="00E175ED">
        <w:rPr>
          <w:rFonts w:cs="Arial Unicode MS"/>
        </w:rPr>
        <w:t>:</w:t>
      </w:r>
      <w:proofErr w:type="gramEnd"/>
      <w:r w:rsidRPr="00E175ED">
        <w:rPr>
          <w:rFonts w:cs="Arial Unicode MS"/>
        </w:rPr>
        <w:br/>
        <w:t>the Va. statute of limitations for tort incorporates the time period of the state that provides the cause of action</w:t>
      </w:r>
      <w:r>
        <w:rPr>
          <w:rFonts w:cs="Arial Unicode MS"/>
        </w:rPr>
        <w:t xml:space="preserve">. That would be an example of borrowing sister state law. There is no suggestion that the sister state statute of limitations is substantive. </w:t>
      </w:r>
    </w:p>
    <w:p w14:paraId="7C93E665" w14:textId="77777777" w:rsidR="00E35B05" w:rsidRDefault="00E35B05"/>
    <w:sectPr w:rsidR="00E35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13E74"/>
    <w:multiLevelType w:val="hybridMultilevel"/>
    <w:tmpl w:val="B00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E1F35"/>
    <w:multiLevelType w:val="hybridMultilevel"/>
    <w:tmpl w:val="A836B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53F23"/>
    <w:multiLevelType w:val="hybridMultilevel"/>
    <w:tmpl w:val="BE428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40B9F"/>
    <w:multiLevelType w:val="hybridMultilevel"/>
    <w:tmpl w:val="E64A5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E0"/>
    <w:rsid w:val="00133F1C"/>
    <w:rsid w:val="00502E46"/>
    <w:rsid w:val="00934FE0"/>
    <w:rsid w:val="00AD559E"/>
    <w:rsid w:val="00B25FB8"/>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B6C4"/>
  <w15:chartTrackingRefBased/>
  <w15:docId w15:val="{E7E33F49-704C-EE47-BE15-C02B0B05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FE0"/>
    <w:pPr>
      <w:spacing w:after="160"/>
      <w:ind w:left="36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1774</Words>
  <Characters>10115</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4</cp:revision>
  <dcterms:created xsi:type="dcterms:W3CDTF">2019-11-19T18:18:00Z</dcterms:created>
  <dcterms:modified xsi:type="dcterms:W3CDTF">2019-11-19T18:29:00Z</dcterms:modified>
</cp:coreProperties>
</file>