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23" w:rsidRPr="00B37BBC" w:rsidRDefault="003C6D23" w:rsidP="003C6D23">
      <w:pPr>
        <w:spacing w:after="0" w:line="240" w:lineRule="auto"/>
        <w:rPr>
          <w:rFonts w:ascii="Times" w:hAnsi="Times"/>
          <w:b/>
        </w:rPr>
      </w:pPr>
      <w:r w:rsidRPr="00B37BBC">
        <w:rPr>
          <w:rFonts w:ascii="Times" w:hAnsi="Times"/>
          <w:b/>
        </w:rPr>
        <w:t>Subject Matter Jurisdiction</w:t>
      </w:r>
    </w:p>
    <w:p w:rsidR="003C6D23" w:rsidRPr="00B37BBC" w:rsidRDefault="003C6D23" w:rsidP="003C6D23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/>
        </w:rPr>
      </w:pPr>
      <w:r w:rsidRPr="00B37BBC">
        <w:rPr>
          <w:rFonts w:ascii="Times" w:hAnsi="Times"/>
        </w:rPr>
        <w:t>Diversity and Alienage Jurisdiction</w:t>
      </w:r>
    </w:p>
    <w:p w:rsidR="003C6D23" w:rsidRPr="00B37BBC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 w:rsidRPr="00B37BBC">
        <w:rPr>
          <w:rFonts w:ascii="Times" w:hAnsi="Times"/>
        </w:rPr>
        <w:t>Diversity – controversies between citizens of different states</w:t>
      </w:r>
    </w:p>
    <w:p w:rsidR="003C6D23" w:rsidRPr="00B37BBC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 w:rsidRPr="00B37BBC">
        <w:rPr>
          <w:rFonts w:ascii="Times" w:hAnsi="Times"/>
        </w:rPr>
        <w:t>Alienage – controversy between citizen of a state and citizen or subject of a foreign country</w:t>
      </w:r>
    </w:p>
    <w:p w:rsidR="003C6D23" w:rsidRPr="00B37BBC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 w:rsidRPr="00B37BBC">
        <w:rPr>
          <w:rFonts w:ascii="Times" w:hAnsi="Times"/>
        </w:rPr>
        <w:t>Justification for diversity/alienage</w:t>
      </w:r>
    </w:p>
    <w:p w:rsidR="003C6D23" w:rsidRPr="00B37BBC" w:rsidRDefault="003C6D23" w:rsidP="003C6D23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/>
        </w:rPr>
      </w:pPr>
      <w:r w:rsidRPr="00B37BBC">
        <w:rPr>
          <w:rFonts w:ascii="Times" w:hAnsi="Times"/>
        </w:rPr>
        <w:t xml:space="preserve">Issues of bias – </w:t>
      </w:r>
      <w:r>
        <w:rPr>
          <w:rFonts w:ascii="Times" w:hAnsi="Times"/>
        </w:rPr>
        <w:t>a Virginia state court judge</w:t>
      </w:r>
      <w:r w:rsidRPr="00B37BBC">
        <w:rPr>
          <w:rFonts w:ascii="Times" w:hAnsi="Times"/>
        </w:rPr>
        <w:t xml:space="preserve"> might be biased against a citizen from North Carolina – reasoning behind giving cases between citizens of different states to federal courts</w:t>
      </w:r>
    </w:p>
    <w:p w:rsidR="003C6D23" w:rsidRPr="00C218A5" w:rsidRDefault="003C6D23" w:rsidP="003C6D23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/>
        </w:rPr>
      </w:pPr>
      <w:r w:rsidRPr="00B37BBC">
        <w:rPr>
          <w:rFonts w:ascii="Times" w:hAnsi="Times"/>
        </w:rPr>
        <w:t>If diversity were tailored to its purpose, only the out-of-stater would b</w:t>
      </w:r>
      <w:r>
        <w:rPr>
          <w:rFonts w:ascii="Times" w:hAnsi="Times"/>
        </w:rPr>
        <w:t>e able to sue in a federal court</w:t>
      </w:r>
    </w:p>
    <w:p w:rsidR="003C6D23" w:rsidRDefault="003C6D23" w:rsidP="003C6D23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/>
        </w:rPr>
      </w:pPr>
      <w:r w:rsidRPr="00B37BBC">
        <w:rPr>
          <w:rFonts w:ascii="Times" w:hAnsi="Times"/>
        </w:rPr>
        <w:t>And if both plaintiff and defendant are out-of-staters, there should be no diversity even if they are from different states</w:t>
      </w:r>
    </w:p>
    <w:p w:rsidR="003C6D23" w:rsidRDefault="003C6D23" w:rsidP="003C6D23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So diversity is poorly drafted for its purpose</w:t>
      </w:r>
    </w:p>
    <w:p w:rsidR="003C6D23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We will start on the scope of 28 USC 1332 – the diversity statute</w:t>
      </w:r>
      <w:r>
        <w:rPr>
          <w:rFonts w:ascii="Times" w:hAnsi="Times"/>
        </w:rPr>
        <w:br/>
        <w:t>later we will talk about how far Congress could go in sending diversity and alienage cases to federal court under Article III</w:t>
      </w:r>
    </w:p>
    <w:p w:rsidR="003C6D23" w:rsidRPr="00B37BBC" w:rsidRDefault="003C6D23" w:rsidP="003C6D23">
      <w:pPr>
        <w:pStyle w:val="ListParagraph"/>
        <w:spacing w:after="0" w:line="240" w:lineRule="auto"/>
        <w:ind w:left="2160"/>
        <w:rPr>
          <w:rFonts w:ascii="Times" w:hAnsi="Times"/>
        </w:rPr>
      </w:pPr>
    </w:p>
    <w:p w:rsidR="003C6D23" w:rsidRPr="00B37BBC" w:rsidRDefault="003C6D23" w:rsidP="003C6D23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/>
        </w:rPr>
      </w:pPr>
      <w:r w:rsidRPr="00B37BBC">
        <w:rPr>
          <w:rFonts w:ascii="Times" w:hAnsi="Times"/>
        </w:rPr>
        <w:t>Domicile</w:t>
      </w:r>
    </w:p>
    <w:p w:rsidR="003C6D23" w:rsidRPr="00B37BBC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 w:rsidRPr="00B37BBC">
        <w:rPr>
          <w:rFonts w:ascii="Times" w:hAnsi="Times"/>
        </w:rPr>
        <w:t>Must be an American national in order to be a citizen of a State</w:t>
      </w:r>
    </w:p>
    <w:p w:rsidR="003C6D23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 w:rsidRPr="00B37BBC">
        <w:rPr>
          <w:rFonts w:ascii="Times" w:hAnsi="Times"/>
        </w:rPr>
        <w:t>If that is satisfied, then one is a citizen of the State where one is domiciled</w:t>
      </w:r>
    </w:p>
    <w:p w:rsidR="003C6D23" w:rsidRPr="00B37BBC" w:rsidRDefault="003C6D23" w:rsidP="003C6D23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A foreign national domiciled in a US state is NOT a citizen of a state!</w:t>
      </w:r>
    </w:p>
    <w:p w:rsidR="003C6D23" w:rsidRPr="00B37BBC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 w:rsidRPr="00B37BBC">
        <w:rPr>
          <w:rFonts w:ascii="Times" w:hAnsi="Times"/>
        </w:rPr>
        <w:t>Only one domicile, for diversity purposes</w:t>
      </w:r>
    </w:p>
    <w:p w:rsidR="003C6D23" w:rsidRPr="00B37BBC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 w:rsidRPr="00B37BBC">
        <w:rPr>
          <w:rFonts w:ascii="Times" w:hAnsi="Times"/>
        </w:rPr>
        <w:t>Always have a domicile – cannot relinquish old domicile until a person gets a new one</w:t>
      </w:r>
    </w:p>
    <w:p w:rsidR="003C6D23" w:rsidRPr="00B37BBC" w:rsidRDefault="003C6D23" w:rsidP="003C6D23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/>
        </w:rPr>
      </w:pPr>
      <w:r w:rsidRPr="00B37BBC">
        <w:rPr>
          <w:rFonts w:ascii="Times" w:hAnsi="Times"/>
          <w:b/>
          <w:i/>
        </w:rPr>
        <w:t>Gordon v. Steele</w:t>
      </w:r>
    </w:p>
    <w:p w:rsidR="003C6D23" w:rsidRPr="00B37BBC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 w:rsidRPr="00B37BBC">
        <w:rPr>
          <w:rFonts w:ascii="Times" w:hAnsi="Times"/>
        </w:rPr>
        <w:t>Plaintiff sues doctors over malpractice, resulting in a broken arm</w:t>
      </w:r>
    </w:p>
    <w:p w:rsidR="003C6D23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 w:rsidRPr="00B37BBC">
        <w:rPr>
          <w:rFonts w:ascii="Times" w:hAnsi="Times"/>
        </w:rPr>
        <w:t xml:space="preserve">Domiciled in PA at the time of the cause of action, but domicile </w:t>
      </w:r>
      <w:r>
        <w:rPr>
          <w:rFonts w:ascii="Times" w:hAnsi="Times"/>
        </w:rPr>
        <w:t>at filing is what matters</w:t>
      </w:r>
    </w:p>
    <w:p w:rsidR="003C6D23" w:rsidRDefault="003C6D23" w:rsidP="003C6D23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/>
        </w:rPr>
      </w:pPr>
      <w:r w:rsidRPr="00B37BBC">
        <w:rPr>
          <w:rFonts w:ascii="Times" w:hAnsi="Times"/>
        </w:rPr>
        <w:t>Looking at the domicile at the time of filing is more consistent with the purpose of diversity</w:t>
      </w:r>
    </w:p>
    <w:p w:rsidR="003C6D23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Doctors are domiciled in PA – they argue she is too so make motion to dismiss for lack of SMJ</w:t>
      </w:r>
    </w:p>
    <w:p w:rsidR="003C6D23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Question is whether she is domiciled in Idaho, where she goes to school</w:t>
      </w:r>
    </w:p>
    <w:p w:rsidR="003C6D23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Burden of proof is on party seeking federal jurisdiction</w:t>
      </w:r>
    </w:p>
    <w:p w:rsidR="003C6D23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Question of fact concerning SMJ (like domicile) can be decided by judge</w:t>
      </w:r>
    </w:p>
    <w:p w:rsidR="003C6D23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Domicile is a question of federal law – it does not matter what domicile she has under PA or ID law</w:t>
      </w:r>
    </w:p>
    <w:p w:rsidR="003C6D23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For changing your domicile, you need…</w:t>
      </w:r>
    </w:p>
    <w:p w:rsidR="003C6D23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Presence plus</w:t>
      </w:r>
    </w:p>
    <w:p w:rsidR="003C6D23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A certain  intent at that same time</w:t>
      </w:r>
    </w:p>
    <w:p w:rsidR="003C6D23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Two tests out there</w:t>
      </w:r>
    </w:p>
    <w:p w:rsidR="003C6D23" w:rsidRDefault="003C6D23" w:rsidP="003C6D23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Intent to remain indefinitely</w:t>
      </w:r>
    </w:p>
    <w:p w:rsidR="003C6D23" w:rsidRDefault="003C6D23" w:rsidP="003C6D23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Intent to make it your home (even if there is a definite end to your time there)</w:t>
      </w:r>
    </w:p>
    <w:p w:rsidR="003C6D23" w:rsidRPr="007351EC" w:rsidRDefault="003C6D23" w:rsidP="003C6D23">
      <w:pPr>
        <w:pStyle w:val="ListParagraph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7351EC">
        <w:rPr>
          <w:rFonts w:ascii="Times" w:hAnsi="Times" w:cs="Times New Roman"/>
          <w:sz w:val="24"/>
          <w:szCs w:val="24"/>
        </w:rPr>
        <w:t xml:space="preserve">How does Gordon come out under each test? </w:t>
      </w:r>
    </w:p>
    <w:p w:rsidR="003C6D23" w:rsidRPr="007351EC" w:rsidRDefault="003C6D23" w:rsidP="003C6D23">
      <w:pPr>
        <w:pStyle w:val="ListParagraph"/>
        <w:numPr>
          <w:ilvl w:val="1"/>
          <w:numId w:val="1"/>
        </w:numPr>
        <w:rPr>
          <w:rFonts w:ascii="Times" w:hAnsi="Times" w:cs="Times New Roman"/>
          <w:sz w:val="24"/>
          <w:szCs w:val="24"/>
        </w:rPr>
      </w:pPr>
      <w:r w:rsidRPr="007351EC">
        <w:rPr>
          <w:rFonts w:ascii="Times" w:hAnsi="Times" w:cs="Times New Roman"/>
          <w:i/>
          <w:sz w:val="24"/>
          <w:szCs w:val="24"/>
        </w:rPr>
        <w:t>Intent to remain indefinitely</w:t>
      </w:r>
      <w:r w:rsidRPr="007351EC">
        <w:rPr>
          <w:rFonts w:ascii="Times" w:hAnsi="Times" w:cs="Times New Roman"/>
          <w:sz w:val="24"/>
          <w:szCs w:val="24"/>
        </w:rPr>
        <w:t xml:space="preserve">: </w:t>
      </w:r>
      <w:proofErr w:type="gramStart"/>
      <w:r w:rsidRPr="007351EC">
        <w:rPr>
          <w:rFonts w:ascii="Times" w:hAnsi="Times" w:cs="Times New Roman"/>
          <w:sz w:val="24"/>
          <w:szCs w:val="24"/>
        </w:rPr>
        <w:t>Would be domiciled</w:t>
      </w:r>
      <w:proofErr w:type="gramEnd"/>
      <w:r w:rsidRPr="007351EC">
        <w:rPr>
          <w:rFonts w:ascii="Times" w:hAnsi="Times" w:cs="Times New Roman"/>
          <w:sz w:val="24"/>
          <w:szCs w:val="24"/>
        </w:rPr>
        <w:t xml:space="preserve"> in Idaho</w:t>
      </w:r>
      <w:r>
        <w:rPr>
          <w:rFonts w:ascii="Times" w:hAnsi="Times" w:cs="Times New Roman"/>
          <w:sz w:val="24"/>
          <w:szCs w:val="24"/>
        </w:rPr>
        <w:t>. She does not know where she will go</w:t>
      </w:r>
      <w:r w:rsidRPr="007351EC">
        <w:rPr>
          <w:rFonts w:ascii="Times" w:hAnsi="Times" w:cs="Times New Roman"/>
          <w:sz w:val="24"/>
          <w:szCs w:val="24"/>
        </w:rPr>
        <w:t xml:space="preserve"> when school </w:t>
      </w:r>
      <w:proofErr w:type="gramStart"/>
      <w:r w:rsidRPr="007351EC">
        <w:rPr>
          <w:rFonts w:ascii="Times" w:hAnsi="Times" w:cs="Times New Roman"/>
          <w:sz w:val="24"/>
          <w:szCs w:val="24"/>
        </w:rPr>
        <w:t>is done</w:t>
      </w:r>
      <w:proofErr w:type="gramEnd"/>
      <w:r w:rsidRPr="007351EC">
        <w:rPr>
          <w:rFonts w:ascii="Times" w:hAnsi="Times" w:cs="Times New Roman"/>
          <w:sz w:val="24"/>
          <w:szCs w:val="24"/>
        </w:rPr>
        <w:t xml:space="preserve">. Presence + intent to remain indefinitely. </w:t>
      </w:r>
    </w:p>
    <w:p w:rsidR="003C6D23" w:rsidRPr="007351EC" w:rsidRDefault="003C6D23" w:rsidP="003C6D23">
      <w:pPr>
        <w:pStyle w:val="ListParagraph"/>
        <w:numPr>
          <w:ilvl w:val="1"/>
          <w:numId w:val="1"/>
        </w:numPr>
        <w:rPr>
          <w:rFonts w:ascii="Times" w:hAnsi="Times" w:cs="Times New Roman"/>
          <w:sz w:val="24"/>
          <w:szCs w:val="24"/>
        </w:rPr>
      </w:pPr>
      <w:r w:rsidRPr="007351EC">
        <w:rPr>
          <w:rFonts w:ascii="Times" w:hAnsi="Times" w:cs="Times New Roman"/>
          <w:i/>
          <w:sz w:val="24"/>
          <w:szCs w:val="24"/>
        </w:rPr>
        <w:t>Intent to make it your home</w:t>
      </w:r>
      <w:r w:rsidRPr="007351EC">
        <w:rPr>
          <w:rFonts w:ascii="Times" w:hAnsi="Times" w:cs="Times New Roman"/>
          <w:sz w:val="24"/>
          <w:szCs w:val="24"/>
        </w:rPr>
        <w:t xml:space="preserve">: </w:t>
      </w:r>
      <w:proofErr w:type="gramStart"/>
      <w:r w:rsidRPr="007351EC">
        <w:rPr>
          <w:rFonts w:ascii="Times" w:hAnsi="Times" w:cs="Times New Roman"/>
          <w:sz w:val="24"/>
          <w:szCs w:val="24"/>
        </w:rPr>
        <w:t xml:space="preserve">Would </w:t>
      </w:r>
      <w:r>
        <w:rPr>
          <w:rFonts w:ascii="Times" w:hAnsi="Times" w:cs="Times New Roman"/>
          <w:sz w:val="24"/>
          <w:szCs w:val="24"/>
        </w:rPr>
        <w:t xml:space="preserve">probably </w:t>
      </w:r>
      <w:r w:rsidRPr="007351EC">
        <w:rPr>
          <w:rFonts w:ascii="Times" w:hAnsi="Times" w:cs="Times New Roman"/>
          <w:sz w:val="24"/>
          <w:szCs w:val="24"/>
        </w:rPr>
        <w:t>be domiciled</w:t>
      </w:r>
      <w:proofErr w:type="gramEnd"/>
      <w:r w:rsidRPr="007351EC">
        <w:rPr>
          <w:rFonts w:ascii="Times" w:hAnsi="Times" w:cs="Times New Roman"/>
          <w:sz w:val="24"/>
          <w:szCs w:val="24"/>
        </w:rPr>
        <w:t xml:space="preserve"> in Pennsylvania. Does not have an intent to make Idaho her home. There only </w:t>
      </w:r>
      <w:proofErr w:type="gramStart"/>
      <w:r w:rsidRPr="007351EC">
        <w:rPr>
          <w:rFonts w:ascii="Times" w:hAnsi="Times" w:cs="Times New Roman"/>
          <w:sz w:val="24"/>
          <w:szCs w:val="24"/>
        </w:rPr>
        <w:t>for the purpose of</w:t>
      </w:r>
      <w:proofErr w:type="gramEnd"/>
      <w:r w:rsidRPr="007351EC">
        <w:rPr>
          <w:rFonts w:ascii="Times" w:hAnsi="Times" w:cs="Times New Roman"/>
          <w:sz w:val="24"/>
          <w:szCs w:val="24"/>
        </w:rPr>
        <w:t xml:space="preserve"> going to school, not making it her home. Even if she does not intend to return to </w:t>
      </w:r>
      <w:r w:rsidRPr="007351EC">
        <w:rPr>
          <w:rFonts w:ascii="Times" w:hAnsi="Times" w:cs="Times New Roman"/>
          <w:sz w:val="24"/>
          <w:szCs w:val="24"/>
        </w:rPr>
        <w:lastRenderedPageBreak/>
        <w:t>Pennsylvania, it is still her domicile until she moves somewhere else intending to make it her home.</w:t>
      </w:r>
    </w:p>
    <w:p w:rsidR="003C6D23" w:rsidRDefault="003C6D23" w:rsidP="003C6D23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/>
        </w:rPr>
      </w:pPr>
    </w:p>
    <w:p w:rsidR="003C6D23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proofErr w:type="gramStart"/>
      <w:r>
        <w:rPr>
          <w:rFonts w:ascii="Times" w:hAnsi="Times"/>
        </w:rPr>
        <w:t xml:space="preserve">Assume </w:t>
      </w:r>
      <w:r w:rsidRPr="00E94CF0">
        <w:rPr>
          <w:rFonts w:ascii="Times" w:hAnsi="Times"/>
        </w:rPr>
        <w:t xml:space="preserve">Gordon intends </w:t>
      </w:r>
      <w:r>
        <w:rPr>
          <w:rFonts w:ascii="Times" w:hAnsi="Times"/>
        </w:rPr>
        <w:t>to remain indefinitely in Idaho</w:t>
      </w:r>
      <w:r w:rsidRPr="00E94CF0">
        <w:rPr>
          <w:rFonts w:ascii="Times" w:hAnsi="Times"/>
        </w:rPr>
        <w:t xml:space="preserve"> </w:t>
      </w:r>
      <w:r>
        <w:rPr>
          <w:rFonts w:ascii="Times" w:hAnsi="Times"/>
        </w:rPr>
        <w:t>once she gets there</w:t>
      </w:r>
      <w:r w:rsidRPr="00E94CF0">
        <w:rPr>
          <w:rFonts w:ascii="Times" w:hAnsi="Times"/>
        </w:rPr>
        <w:br/>
        <w:t xml:space="preserve">she leaves for Idaho but gets into an accident in Illinois on the </w:t>
      </w:r>
      <w:r>
        <w:rPr>
          <w:rFonts w:ascii="Times" w:hAnsi="Times"/>
        </w:rPr>
        <w:t>way, remains there for recovery</w:t>
      </w:r>
      <w:r w:rsidRPr="00E94CF0">
        <w:rPr>
          <w:rFonts w:ascii="Times" w:hAnsi="Times"/>
        </w:rPr>
        <w:br/>
        <w:t>domicile?</w:t>
      </w:r>
      <w:proofErr w:type="gramEnd"/>
      <w:r>
        <w:rPr>
          <w:rFonts w:ascii="Times" w:hAnsi="Times"/>
        </w:rPr>
        <w:t xml:space="preserve"> Still PA because did not have presence</w:t>
      </w:r>
    </w:p>
    <w:p w:rsidR="003C6D23" w:rsidRPr="002867C7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proofErr w:type="gramStart"/>
      <w:r w:rsidRPr="00E94CF0">
        <w:rPr>
          <w:rFonts w:ascii="Times" w:hAnsi="Times"/>
        </w:rPr>
        <w:t>would</w:t>
      </w:r>
      <w:proofErr w:type="gramEnd"/>
      <w:r w:rsidRPr="00E94CF0">
        <w:rPr>
          <w:rFonts w:ascii="Times" w:hAnsi="Times"/>
        </w:rPr>
        <w:t xml:space="preserve"> it matter that she had visited Idaho before the accident?</w:t>
      </w:r>
      <w:r>
        <w:rPr>
          <w:rFonts w:ascii="Times" w:hAnsi="Times"/>
        </w:rPr>
        <w:t xml:space="preserve"> – not if she didn’t have the intent to remain indefinitely </w:t>
      </w:r>
      <w:r w:rsidRPr="002867C7">
        <w:rPr>
          <w:rFonts w:ascii="Times" w:hAnsi="Times"/>
          <w:i/>
        </w:rPr>
        <w:t>at that moment</w:t>
      </w:r>
    </w:p>
    <w:p w:rsidR="003C6D23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Gordon court uses in “indefinitely” test, not “home” test</w:t>
      </w:r>
    </w:p>
    <w:p w:rsidR="003C6D23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so concludes she is domiciled in ID even though she does not have a close attachment to the state</w:t>
      </w:r>
    </w:p>
    <w:p w:rsidR="003C6D23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the reason is she has no plan to go anywhere else after graduation – it is open ended - she may remain in ID</w:t>
      </w:r>
    </w:p>
    <w:p w:rsidR="003C6D23" w:rsidRPr="002867C7" w:rsidRDefault="003C6D23" w:rsidP="003C6D23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/>
        </w:rPr>
      </w:pPr>
      <w:proofErr w:type="gramStart"/>
      <w:r w:rsidRPr="002867C7">
        <w:rPr>
          <w:rFonts w:ascii="Times" w:hAnsi="Times"/>
        </w:rPr>
        <w:t>what</w:t>
      </w:r>
      <w:proofErr w:type="gramEnd"/>
      <w:r w:rsidRPr="002867C7">
        <w:rPr>
          <w:rFonts w:ascii="Times" w:hAnsi="Times"/>
        </w:rPr>
        <w:t xml:space="preserve"> if she intended to go to Colorado after graduation?</w:t>
      </w:r>
    </w:p>
    <w:p w:rsidR="003C6D23" w:rsidRDefault="003C6D23" w:rsidP="003C6D23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 xml:space="preserve">Would not be domiciled in ID – would still be a PA domiciliary </w:t>
      </w:r>
    </w:p>
    <w:p w:rsidR="003C6D23" w:rsidRDefault="003C6D23" w:rsidP="003C6D2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/>
        </w:rPr>
      </w:pPr>
      <w:proofErr w:type="gramStart"/>
      <w:r w:rsidRPr="008837CC">
        <w:rPr>
          <w:rFonts w:ascii="Times" w:hAnsi="Times"/>
        </w:rPr>
        <w:t>assume</w:t>
      </w:r>
      <w:proofErr w:type="gramEnd"/>
      <w:r w:rsidRPr="008837CC">
        <w:rPr>
          <w:rFonts w:ascii="Times" w:hAnsi="Times"/>
        </w:rPr>
        <w:t xml:space="preserve"> that after the litigation is over Susan decides that after school s</w:t>
      </w:r>
      <w:r>
        <w:rPr>
          <w:rFonts w:ascii="Times" w:hAnsi="Times"/>
        </w:rPr>
        <w:t>he will return to Pennsylvania</w:t>
      </w:r>
      <w:r w:rsidRPr="008837CC">
        <w:rPr>
          <w:rFonts w:ascii="Times" w:hAnsi="Times"/>
        </w:rPr>
        <w:br/>
        <w:t>where is her domicile at the time of her decision?</w:t>
      </w:r>
    </w:p>
    <w:p w:rsidR="003C6D23" w:rsidRDefault="003C6D23" w:rsidP="003C6D23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She had already established ID domicile, so she would still be a ID domiciliary, because she doesn’t yet have the PA presence</w:t>
      </w:r>
    </w:p>
    <w:p w:rsidR="003C6D23" w:rsidRDefault="003C6D23" w:rsidP="003C6D23">
      <w:pPr>
        <w:spacing w:after="0" w:line="240" w:lineRule="auto"/>
        <w:rPr>
          <w:rFonts w:ascii="Times" w:hAnsi="Times"/>
        </w:rPr>
      </w:pPr>
    </w:p>
    <w:p w:rsidR="003C6D23" w:rsidRDefault="003C6D23" w:rsidP="003C6D23">
      <w:p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Problems with the indefinitely test:</w:t>
      </w:r>
    </w:p>
    <w:p w:rsidR="003C6D23" w:rsidRDefault="003C6D23" w:rsidP="003C6D23">
      <w:pPr>
        <w:spacing w:after="0" w:line="240" w:lineRule="auto"/>
        <w:rPr>
          <w:rFonts w:ascii="Times" w:hAnsi="Times"/>
        </w:rPr>
      </w:pPr>
      <w:r w:rsidRPr="00D06F12">
        <w:rPr>
          <w:rFonts w:ascii="Times" w:hAnsi="Times"/>
        </w:rPr>
        <w:t>Michael Green, a Californian, moved to Virginia to take a job</w:t>
      </w:r>
      <w:r>
        <w:rPr>
          <w:rFonts w:ascii="Times" w:hAnsi="Times"/>
        </w:rPr>
        <w:t xml:space="preserve"> at William and Mary Law School</w:t>
      </w:r>
      <w:r w:rsidRPr="00D06F12">
        <w:rPr>
          <w:rFonts w:ascii="Times" w:hAnsi="Times"/>
        </w:rPr>
        <w:br/>
        <w:t>he intends to return to California on his 65</w:t>
      </w:r>
      <w:r w:rsidRPr="00D06F12">
        <w:rPr>
          <w:rFonts w:ascii="Times" w:hAnsi="Times"/>
          <w:vertAlign w:val="superscript"/>
        </w:rPr>
        <w:t>th</w:t>
      </w:r>
      <w:r w:rsidRPr="00D06F12">
        <w:rPr>
          <w:rFonts w:ascii="Times" w:hAnsi="Times"/>
        </w:rPr>
        <w:t xml:space="preserve"> birthday</w:t>
      </w:r>
    </w:p>
    <w:p w:rsidR="003C6D23" w:rsidRDefault="003C6D23" w:rsidP="003C6D23">
      <w:p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Looks like I’m not domiciled in VA under the indefinitely test</w:t>
      </w:r>
    </w:p>
    <w:p w:rsidR="003C6D23" w:rsidRDefault="003C6D23" w:rsidP="003C6D23">
      <w:p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Here is where the home test works better</w:t>
      </w:r>
    </w:p>
    <w:p w:rsidR="003C6D23" w:rsidRDefault="003C6D23" w:rsidP="003C6D23">
      <w:pPr>
        <w:spacing w:after="0" w:line="240" w:lineRule="auto"/>
        <w:rPr>
          <w:rFonts w:ascii="Times" w:hAnsi="Times"/>
        </w:rPr>
      </w:pPr>
    </w:p>
    <w:p w:rsidR="003C6D23" w:rsidRPr="00B37BBC" w:rsidRDefault="003C6D23" w:rsidP="003C6D23">
      <w:p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 xml:space="preserve">Green thinks courts tend to move back and forth between the tests – it is not as bivalent as </w:t>
      </w:r>
      <w:proofErr w:type="spellStart"/>
      <w:r>
        <w:rPr>
          <w:rFonts w:ascii="Times" w:hAnsi="Times"/>
        </w:rPr>
        <w:t>Glannon</w:t>
      </w:r>
      <w:proofErr w:type="spellEnd"/>
      <w:r>
        <w:rPr>
          <w:rFonts w:ascii="Times" w:hAnsi="Times"/>
        </w:rPr>
        <w:t xml:space="preserve"> suggests</w:t>
      </w:r>
    </w:p>
    <w:p w:rsidR="00080454" w:rsidRDefault="00080454"/>
    <w:p w:rsidR="003C6D23" w:rsidRDefault="003C6D23" w:rsidP="003C6D23">
      <w:pPr>
        <w:rPr>
          <w:rFonts w:ascii="Times" w:hAnsi="Times" w:cs="Times New Roman"/>
          <w:b/>
          <w:i/>
          <w:sz w:val="24"/>
          <w:szCs w:val="24"/>
        </w:rPr>
      </w:pPr>
      <w:r>
        <w:rPr>
          <w:rFonts w:ascii="Times" w:hAnsi="Times" w:cs="Times New Roman"/>
          <w:b/>
          <w:i/>
          <w:sz w:val="24"/>
          <w:szCs w:val="24"/>
        </w:rPr>
        <w:t>Residence vs Domicile</w:t>
      </w:r>
    </w:p>
    <w:p w:rsidR="003C6D23" w:rsidRDefault="003C6D23" w:rsidP="003C6D23">
      <w:pPr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 xml:space="preserve">Residence is a term that </w:t>
      </w:r>
      <w:proofErr w:type="gramStart"/>
      <w:r>
        <w:rPr>
          <w:rFonts w:ascii="Times" w:hAnsi="Times" w:cs="Times New Roman"/>
          <w:sz w:val="24"/>
          <w:szCs w:val="24"/>
        </w:rPr>
        <w:t>is commonly used</w:t>
      </w:r>
      <w:proofErr w:type="gramEnd"/>
      <w:r>
        <w:rPr>
          <w:rFonts w:ascii="Times" w:hAnsi="Times" w:cs="Times New Roman"/>
          <w:sz w:val="24"/>
          <w:szCs w:val="24"/>
        </w:rPr>
        <w:t xml:space="preserve"> in statutes and regulations – it usually requires a certain period of time (</w:t>
      </w:r>
      <w:proofErr w:type="spellStart"/>
      <w:r>
        <w:rPr>
          <w:rFonts w:ascii="Times" w:hAnsi="Times" w:cs="Times New Roman"/>
          <w:sz w:val="24"/>
          <w:szCs w:val="24"/>
        </w:rPr>
        <w:t>eg</w:t>
      </w:r>
      <w:proofErr w:type="spellEnd"/>
      <w:r>
        <w:rPr>
          <w:rFonts w:ascii="Times" w:hAnsi="Times" w:cs="Times New Roman"/>
          <w:sz w:val="24"/>
          <w:szCs w:val="24"/>
        </w:rPr>
        <w:t xml:space="preserve"> residence for one year) </w:t>
      </w:r>
    </w:p>
    <w:p w:rsidR="003C6D23" w:rsidRDefault="003C6D23" w:rsidP="003C6D23">
      <w:pPr>
        <w:pStyle w:val="ListParagraph"/>
        <w:numPr>
          <w:ilvl w:val="0"/>
          <w:numId w:val="6"/>
        </w:numPr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Residence does not require any particular intent</w:t>
      </w:r>
    </w:p>
    <w:p w:rsidR="003C6D23" w:rsidRPr="000F2A52" w:rsidRDefault="003C6D23" w:rsidP="003C6D23">
      <w:pPr>
        <w:pStyle w:val="ListParagraph"/>
        <w:numPr>
          <w:ilvl w:val="0"/>
          <w:numId w:val="6"/>
        </w:numPr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Domicile can be acquired in an instant but it does require a certain intent</w:t>
      </w:r>
    </w:p>
    <w:p w:rsidR="003C6D23" w:rsidRPr="00AC2957" w:rsidRDefault="003C6D23" w:rsidP="003C6D23">
      <w:pPr>
        <w:rPr>
          <w:rFonts w:ascii="Times" w:hAnsi="Times" w:cs="Times New Roman"/>
          <w:sz w:val="24"/>
          <w:szCs w:val="24"/>
        </w:rPr>
      </w:pPr>
      <w:r w:rsidRPr="00AC2957">
        <w:rPr>
          <w:rFonts w:ascii="Times" w:hAnsi="Times" w:cs="Times New Roman"/>
          <w:sz w:val="24"/>
          <w:szCs w:val="24"/>
        </w:rPr>
        <w:t>Now – complete diversity requirement</w:t>
      </w:r>
    </w:p>
    <w:p w:rsidR="003C6D23" w:rsidRPr="007351EC" w:rsidRDefault="003C6D23" w:rsidP="003C6D23">
      <w:pPr>
        <w:rPr>
          <w:rFonts w:ascii="Times" w:hAnsi="Times" w:cs="Times New Roman"/>
          <w:b/>
          <w:sz w:val="24"/>
          <w:szCs w:val="24"/>
          <w:u w:val="single"/>
        </w:rPr>
      </w:pPr>
      <w:proofErr w:type="gramStart"/>
      <w:r w:rsidRPr="007351EC">
        <w:rPr>
          <w:rFonts w:ascii="Times" w:hAnsi="Times" w:cs="Times New Roman"/>
          <w:b/>
          <w:sz w:val="24"/>
          <w:szCs w:val="24"/>
          <w:u w:val="single"/>
        </w:rPr>
        <w:t>28</w:t>
      </w:r>
      <w:proofErr w:type="gramEnd"/>
      <w:r w:rsidRPr="007351EC">
        <w:rPr>
          <w:rFonts w:ascii="Times" w:hAnsi="Times" w:cs="Times New Roman"/>
          <w:b/>
          <w:sz w:val="24"/>
          <w:szCs w:val="24"/>
          <w:u w:val="single"/>
        </w:rPr>
        <w:t xml:space="preserve"> U.S.C. 1332(a)</w:t>
      </w:r>
    </w:p>
    <w:p w:rsidR="003C6D23" w:rsidRPr="007351EC" w:rsidRDefault="003C6D23" w:rsidP="003C6D23">
      <w:pPr>
        <w:rPr>
          <w:rFonts w:ascii="Times" w:hAnsi="Times" w:cs="Times New Roman"/>
          <w:sz w:val="24"/>
          <w:szCs w:val="24"/>
        </w:rPr>
      </w:pPr>
      <w:r w:rsidRPr="007351EC">
        <w:rPr>
          <w:rFonts w:ascii="Times" w:hAnsi="Times" w:cs="Times New Roman"/>
          <w:sz w:val="24"/>
          <w:szCs w:val="24"/>
        </w:rPr>
        <w:br/>
      </w:r>
      <w:proofErr w:type="gramStart"/>
      <w:r w:rsidRPr="007351EC">
        <w:rPr>
          <w:rFonts w:ascii="Times" w:hAnsi="Times" w:cs="Times New Roman"/>
          <w:sz w:val="24"/>
          <w:szCs w:val="24"/>
        </w:rPr>
        <w:t>(a) The district courts shall have original jurisdiction of all civil actions where the matter in controversy exceeds the sum or value of $75,000, exclusive of interest and costs, and is between--</w:t>
      </w:r>
      <w:r w:rsidRPr="007351EC">
        <w:rPr>
          <w:rFonts w:ascii="Times" w:hAnsi="Times" w:cs="Times New Roman"/>
          <w:sz w:val="24"/>
          <w:szCs w:val="24"/>
        </w:rPr>
        <w:br/>
        <w:t>(1) citizens of different States;</w:t>
      </w:r>
      <w:r w:rsidRPr="007351EC">
        <w:rPr>
          <w:rFonts w:ascii="Times" w:hAnsi="Times" w:cs="Times New Roman"/>
          <w:sz w:val="24"/>
          <w:szCs w:val="24"/>
        </w:rPr>
        <w:br/>
        <w:t xml:space="preserve">(2) citizens of a State and citizens or subjects of a foreign state, except that the district courts </w:t>
      </w:r>
      <w:r w:rsidRPr="007351EC">
        <w:rPr>
          <w:rFonts w:ascii="Times" w:hAnsi="Times" w:cs="Times New Roman"/>
          <w:sz w:val="24"/>
          <w:szCs w:val="24"/>
        </w:rPr>
        <w:lastRenderedPageBreak/>
        <w:t>shall not have original jurisdiction under this subsection of an action between citizens of a State and citizens or subjects of a foreign state who are lawfully admitted for permanent residence in the United States and are domiciled in the same State;</w:t>
      </w:r>
      <w:r w:rsidRPr="007351EC">
        <w:rPr>
          <w:rFonts w:ascii="Times" w:hAnsi="Times" w:cs="Times New Roman"/>
          <w:sz w:val="24"/>
          <w:szCs w:val="24"/>
        </w:rPr>
        <w:br/>
        <w:t>(3) citizens of different States and in which citizens or subjects of a foreign state are additional pa</w:t>
      </w:r>
      <w:r>
        <w:rPr>
          <w:rFonts w:ascii="Times" w:hAnsi="Times" w:cs="Times New Roman"/>
          <w:sz w:val="24"/>
          <w:szCs w:val="24"/>
        </w:rPr>
        <w:t>rties</w:t>
      </w:r>
      <w:r w:rsidRPr="007351EC">
        <w:rPr>
          <w:rFonts w:ascii="Times" w:hAnsi="Times" w:cs="Times New Roman"/>
          <w:sz w:val="24"/>
          <w:szCs w:val="24"/>
        </w:rPr>
        <w:t xml:space="preserve">.. . . </w:t>
      </w:r>
      <w:r w:rsidRPr="007351EC">
        <w:rPr>
          <w:rFonts w:ascii="Times" w:hAnsi="Times" w:cs="Times New Roman"/>
          <w:sz w:val="24"/>
          <w:szCs w:val="24"/>
        </w:rPr>
        <w:br/>
      </w:r>
      <w:r w:rsidRPr="007351EC">
        <w:rPr>
          <w:rFonts w:ascii="Times" w:hAnsi="Times" w:cs="Times New Roman"/>
          <w:sz w:val="24"/>
          <w:szCs w:val="24"/>
        </w:rPr>
        <w:br/>
        <w:t>(e) The word ''States'', as used in this section, includes the Territories, the District of Columbia, and the Commonwealth of Puerto Rico</w:t>
      </w:r>
      <w:proofErr w:type="gramEnd"/>
    </w:p>
    <w:p w:rsidR="003C6D23" w:rsidRPr="007351EC" w:rsidRDefault="003C6D23" w:rsidP="003C6D23">
      <w:pPr>
        <w:rPr>
          <w:rFonts w:ascii="Times" w:hAnsi="Times" w:cs="Times New Roman"/>
          <w:sz w:val="24"/>
          <w:szCs w:val="24"/>
        </w:rPr>
      </w:pPr>
    </w:p>
    <w:p w:rsidR="003C6D23" w:rsidRPr="007351EC" w:rsidRDefault="003C6D23" w:rsidP="003C6D23">
      <w:pPr>
        <w:rPr>
          <w:rFonts w:ascii="Times" w:hAnsi="Times" w:cs="Times New Roman"/>
          <w:sz w:val="24"/>
          <w:szCs w:val="24"/>
        </w:rPr>
      </w:pPr>
      <w:r w:rsidRPr="007351EC">
        <w:rPr>
          <w:rFonts w:ascii="Times" w:hAnsi="Times" w:cs="Times New Roman"/>
          <w:sz w:val="24"/>
          <w:szCs w:val="24"/>
          <w:u w:val="single"/>
        </w:rPr>
        <w:t>Complete diversity</w:t>
      </w:r>
      <w:r w:rsidRPr="007351EC">
        <w:rPr>
          <w:rFonts w:ascii="Times" w:hAnsi="Times" w:cs="Times New Roman"/>
          <w:sz w:val="24"/>
          <w:szCs w:val="24"/>
        </w:rPr>
        <w:t>: If you are trying for diversity under 1332(a</w:t>
      </w:r>
      <w:proofErr w:type="gramStart"/>
      <w:r w:rsidRPr="007351EC">
        <w:rPr>
          <w:rFonts w:ascii="Times" w:hAnsi="Times" w:cs="Times New Roman"/>
          <w:sz w:val="24"/>
          <w:szCs w:val="24"/>
        </w:rPr>
        <w:t>)(</w:t>
      </w:r>
      <w:proofErr w:type="gramEnd"/>
      <w:r w:rsidRPr="007351EC">
        <w:rPr>
          <w:rFonts w:ascii="Times" w:hAnsi="Times" w:cs="Times New Roman"/>
          <w:sz w:val="24"/>
          <w:szCs w:val="24"/>
        </w:rPr>
        <w:t xml:space="preserve">1) or (3) </w:t>
      </w:r>
    </w:p>
    <w:p w:rsidR="003C6D23" w:rsidRPr="007351EC" w:rsidRDefault="003C6D23" w:rsidP="003C6D23">
      <w:pPr>
        <w:rPr>
          <w:rFonts w:ascii="Times" w:hAnsi="Times" w:cs="Times New Roman"/>
          <w:sz w:val="24"/>
          <w:szCs w:val="24"/>
        </w:rPr>
      </w:pPr>
      <w:r w:rsidRPr="007351EC">
        <w:rPr>
          <w:rFonts w:ascii="Times" w:hAnsi="Times" w:cs="Times New Roman"/>
          <w:sz w:val="24"/>
          <w:szCs w:val="24"/>
        </w:rPr>
        <w:t xml:space="preserve">No defendant can be a citizen of the same State as any plaintiff. </w:t>
      </w:r>
      <w:r w:rsidRPr="007351EC">
        <w:rPr>
          <w:rFonts w:ascii="Times" w:hAnsi="Times" w:cs="Times New Roman"/>
          <w:sz w:val="24"/>
          <w:szCs w:val="24"/>
        </w:rPr>
        <w:br/>
      </w:r>
      <w:r w:rsidRPr="007351EC">
        <w:rPr>
          <w:rFonts w:ascii="Times" w:hAnsi="Times" w:cs="Times New Roman"/>
          <w:sz w:val="24"/>
          <w:szCs w:val="24"/>
          <w:u w:val="single"/>
        </w:rPr>
        <w:t>Complete alienage</w:t>
      </w:r>
      <w:r w:rsidRPr="007351EC">
        <w:rPr>
          <w:rFonts w:ascii="Times" w:hAnsi="Times" w:cs="Times New Roman"/>
          <w:sz w:val="24"/>
          <w:szCs w:val="24"/>
        </w:rPr>
        <w:t xml:space="preserve">: </w:t>
      </w:r>
    </w:p>
    <w:p w:rsidR="003C6D23" w:rsidRPr="007351EC" w:rsidRDefault="003C6D23" w:rsidP="003C6D23">
      <w:pPr>
        <w:rPr>
          <w:rFonts w:ascii="Times" w:hAnsi="Times" w:cs="Times New Roman"/>
          <w:sz w:val="24"/>
          <w:szCs w:val="24"/>
        </w:rPr>
      </w:pPr>
      <w:r w:rsidRPr="007351EC">
        <w:rPr>
          <w:rFonts w:ascii="Times" w:hAnsi="Times" w:cs="Times New Roman"/>
          <w:sz w:val="24"/>
          <w:szCs w:val="24"/>
        </w:rPr>
        <w:t>If you are trying for 1332(a</w:t>
      </w:r>
      <w:proofErr w:type="gramStart"/>
      <w:r w:rsidRPr="007351EC">
        <w:rPr>
          <w:rFonts w:ascii="Times" w:hAnsi="Times" w:cs="Times New Roman"/>
          <w:sz w:val="24"/>
          <w:szCs w:val="24"/>
        </w:rPr>
        <w:t>)(</w:t>
      </w:r>
      <w:proofErr w:type="gramEnd"/>
      <w:r w:rsidRPr="007351EC">
        <w:rPr>
          <w:rFonts w:ascii="Times" w:hAnsi="Times" w:cs="Times New Roman"/>
          <w:sz w:val="24"/>
          <w:szCs w:val="24"/>
        </w:rPr>
        <w:t>2) you need complete alienage</w:t>
      </w:r>
      <w:r w:rsidRPr="007351EC">
        <w:rPr>
          <w:rFonts w:ascii="Times" w:hAnsi="Times" w:cs="Times New Roman"/>
          <w:sz w:val="24"/>
          <w:szCs w:val="24"/>
        </w:rPr>
        <w:br/>
      </w:r>
      <w:r w:rsidRPr="007351EC">
        <w:rPr>
          <w:rFonts w:ascii="Times" w:hAnsi="Times" w:cs="Times New Roman"/>
          <w:sz w:val="24"/>
          <w:szCs w:val="24"/>
        </w:rPr>
        <w:tab/>
        <w:t xml:space="preserve">all aliens must be on only one side of the v. </w:t>
      </w:r>
    </w:p>
    <w:p w:rsidR="003C6D23" w:rsidRPr="007351EC" w:rsidRDefault="003C6D23" w:rsidP="003C6D23">
      <w:pPr>
        <w:rPr>
          <w:rFonts w:ascii="Times" w:hAnsi="Times" w:cs="Times New Roman"/>
          <w:b/>
          <w:i/>
          <w:sz w:val="24"/>
          <w:szCs w:val="24"/>
        </w:rPr>
      </w:pPr>
      <w:r w:rsidRPr="007351EC">
        <w:rPr>
          <w:rFonts w:ascii="Times" w:hAnsi="Times" w:cs="Times New Roman"/>
          <w:b/>
          <w:i/>
          <w:sz w:val="24"/>
          <w:szCs w:val="24"/>
        </w:rPr>
        <w:t>Examples: is there federal SMJ under 28 USC 1332(a)?</w:t>
      </w:r>
    </w:p>
    <w:p w:rsidR="003C6D23" w:rsidRPr="007351EC" w:rsidRDefault="003C6D23" w:rsidP="003C6D23">
      <w:pPr>
        <w:spacing w:after="0"/>
        <w:rPr>
          <w:rFonts w:ascii="Times" w:hAnsi="Times" w:cs="Times New Roman"/>
          <w:b/>
          <w:sz w:val="24"/>
          <w:szCs w:val="24"/>
        </w:rPr>
      </w:pPr>
      <w:r w:rsidRPr="007351EC">
        <w:rPr>
          <w:rFonts w:ascii="Times" w:hAnsi="Times" w:cs="Times New Roman"/>
          <w:b/>
          <w:sz w:val="24"/>
          <w:szCs w:val="24"/>
        </w:rPr>
        <w:t>Assumptions:</w:t>
      </w:r>
    </w:p>
    <w:p w:rsidR="003C6D23" w:rsidRPr="007351EC" w:rsidRDefault="003C6D23" w:rsidP="003C6D23">
      <w:pPr>
        <w:pStyle w:val="ListParagraph"/>
        <w:numPr>
          <w:ilvl w:val="0"/>
          <w:numId w:val="5"/>
        </w:numPr>
        <w:spacing w:after="0"/>
        <w:rPr>
          <w:rFonts w:ascii="Times" w:hAnsi="Times" w:cs="Times New Roman"/>
          <w:b/>
          <w:sz w:val="24"/>
          <w:szCs w:val="24"/>
        </w:rPr>
      </w:pPr>
      <w:r w:rsidRPr="007351EC">
        <w:rPr>
          <w:rFonts w:ascii="Times" w:hAnsi="Times" w:cs="Times New Roman"/>
          <w:sz w:val="24"/>
          <w:szCs w:val="24"/>
        </w:rPr>
        <w:t>jurisdictional minimum is met</w:t>
      </w:r>
    </w:p>
    <w:p w:rsidR="003C6D23" w:rsidRPr="007351EC" w:rsidRDefault="003C6D23" w:rsidP="003C6D23">
      <w:pPr>
        <w:pStyle w:val="ListParagraph"/>
        <w:numPr>
          <w:ilvl w:val="0"/>
          <w:numId w:val="5"/>
        </w:numPr>
        <w:spacing w:after="0"/>
        <w:rPr>
          <w:rFonts w:ascii="Times" w:hAnsi="Times" w:cs="Times New Roman"/>
          <w:b/>
          <w:sz w:val="24"/>
          <w:szCs w:val="24"/>
        </w:rPr>
      </w:pPr>
      <w:r w:rsidRPr="007351EC">
        <w:rPr>
          <w:rFonts w:ascii="Times" w:hAnsi="Times" w:cs="Times New Roman"/>
          <w:sz w:val="24"/>
          <w:szCs w:val="24"/>
        </w:rPr>
        <w:t>action is brought in federal court by the plaintiff</w:t>
      </w:r>
    </w:p>
    <w:p w:rsidR="003C6D23" w:rsidRPr="007351EC" w:rsidRDefault="003C6D23" w:rsidP="003C6D23">
      <w:pPr>
        <w:pStyle w:val="ListParagraph"/>
        <w:numPr>
          <w:ilvl w:val="0"/>
          <w:numId w:val="5"/>
        </w:numPr>
        <w:spacing w:after="0"/>
        <w:rPr>
          <w:rFonts w:ascii="Times" w:hAnsi="Times" w:cs="Times New Roman"/>
          <w:b/>
          <w:sz w:val="24"/>
          <w:szCs w:val="24"/>
        </w:rPr>
      </w:pPr>
      <w:r w:rsidRPr="007351EC">
        <w:rPr>
          <w:rFonts w:ascii="Times" w:hAnsi="Times" w:cs="Times New Roman"/>
          <w:sz w:val="24"/>
          <w:szCs w:val="24"/>
        </w:rPr>
        <w:t>foreign national is domiciled in his own country (unless otherwise stated)</w:t>
      </w:r>
    </w:p>
    <w:p w:rsidR="003C6D23" w:rsidRPr="007351EC" w:rsidRDefault="003C6D23" w:rsidP="003C6D23">
      <w:pPr>
        <w:spacing w:after="0"/>
        <w:rPr>
          <w:rFonts w:ascii="Times" w:hAnsi="Times" w:cs="Times New Roman"/>
          <w:b/>
          <w:sz w:val="24"/>
          <w:szCs w:val="24"/>
        </w:rPr>
      </w:pPr>
    </w:p>
    <w:p w:rsidR="003C6D23" w:rsidRPr="007351EC" w:rsidRDefault="003C6D23" w:rsidP="003C6D23">
      <w:pPr>
        <w:pStyle w:val="ListParagraph"/>
        <w:numPr>
          <w:ilvl w:val="0"/>
          <w:numId w:val="4"/>
        </w:numPr>
        <w:rPr>
          <w:rFonts w:ascii="Times" w:hAnsi="Times" w:cs="Times New Roman"/>
          <w:sz w:val="24"/>
          <w:szCs w:val="24"/>
          <w:u w:val="single"/>
        </w:rPr>
      </w:pPr>
      <w:r w:rsidRPr="007351EC">
        <w:rPr>
          <w:rFonts w:ascii="Times" w:hAnsi="Times" w:cs="Times New Roman"/>
          <w:sz w:val="24"/>
          <w:szCs w:val="24"/>
        </w:rPr>
        <w:t xml:space="preserve">Californian sues a German: Yes, under (2) – alienage case. </w:t>
      </w:r>
    </w:p>
    <w:p w:rsidR="003C6D23" w:rsidRPr="007351EC" w:rsidRDefault="003C6D23" w:rsidP="003C6D23">
      <w:pPr>
        <w:pStyle w:val="ListParagraph"/>
        <w:numPr>
          <w:ilvl w:val="0"/>
          <w:numId w:val="4"/>
        </w:numPr>
        <w:rPr>
          <w:rFonts w:ascii="Times" w:hAnsi="Times" w:cs="Times New Roman"/>
          <w:sz w:val="24"/>
          <w:szCs w:val="24"/>
          <w:u w:val="single"/>
        </w:rPr>
      </w:pPr>
      <w:r w:rsidRPr="007351EC">
        <w:rPr>
          <w:rFonts w:ascii="Times" w:hAnsi="Times" w:cs="Times New Roman"/>
          <w:sz w:val="24"/>
          <w:szCs w:val="24"/>
        </w:rPr>
        <w:t xml:space="preserve">Californian sues a New Yorker and a Californian: No – not complete diversity </w:t>
      </w:r>
    </w:p>
    <w:p w:rsidR="003C6D23" w:rsidRPr="007351EC" w:rsidRDefault="003C6D23" w:rsidP="003C6D23">
      <w:pPr>
        <w:pStyle w:val="ListParagraph"/>
        <w:numPr>
          <w:ilvl w:val="1"/>
          <w:numId w:val="2"/>
        </w:numPr>
        <w:rPr>
          <w:rFonts w:ascii="Times" w:hAnsi="Times" w:cs="Times New Roman"/>
          <w:sz w:val="24"/>
          <w:szCs w:val="24"/>
          <w:u w:val="single"/>
        </w:rPr>
      </w:pPr>
      <w:r w:rsidRPr="007351EC">
        <w:rPr>
          <w:rFonts w:ascii="Times" w:hAnsi="Times" w:cs="Times New Roman"/>
          <w:sz w:val="24"/>
          <w:szCs w:val="24"/>
        </w:rPr>
        <w:t xml:space="preserve">Does it make sense that there is no diversity? No. </w:t>
      </w:r>
    </w:p>
    <w:p w:rsidR="003C6D23" w:rsidRPr="007351EC" w:rsidRDefault="003C6D23" w:rsidP="003C6D23">
      <w:pPr>
        <w:pStyle w:val="ListParagraph"/>
        <w:numPr>
          <w:ilvl w:val="2"/>
          <w:numId w:val="2"/>
        </w:numPr>
        <w:rPr>
          <w:rFonts w:ascii="Times" w:hAnsi="Times" w:cs="Times New Roman"/>
          <w:sz w:val="24"/>
          <w:szCs w:val="24"/>
          <w:u w:val="single"/>
        </w:rPr>
      </w:pPr>
      <w:proofErr w:type="gramStart"/>
      <w:r w:rsidRPr="007351EC">
        <w:rPr>
          <w:rFonts w:ascii="Times" w:hAnsi="Times" w:cs="Times New Roman"/>
          <w:sz w:val="24"/>
          <w:szCs w:val="24"/>
        </w:rPr>
        <w:t>the</w:t>
      </w:r>
      <w:proofErr w:type="gramEnd"/>
      <w:r w:rsidRPr="007351EC">
        <w:rPr>
          <w:rFonts w:ascii="Times" w:hAnsi="Times" w:cs="Times New Roman"/>
          <w:sz w:val="24"/>
          <w:szCs w:val="24"/>
        </w:rPr>
        <w:t xml:space="preserve"> mean Californian state </w:t>
      </w:r>
      <w:r>
        <w:rPr>
          <w:rFonts w:ascii="Times" w:hAnsi="Times" w:cs="Times New Roman"/>
          <w:sz w:val="24"/>
          <w:szCs w:val="24"/>
        </w:rPr>
        <w:t>court might say the New York but not the Cal defendant is liable to the California plaintiff</w:t>
      </w:r>
      <w:r w:rsidRPr="007351EC">
        <w:rPr>
          <w:rFonts w:ascii="Times" w:hAnsi="Times" w:cs="Times New Roman"/>
          <w:sz w:val="24"/>
          <w:szCs w:val="24"/>
        </w:rPr>
        <w:t xml:space="preserve">. </w:t>
      </w:r>
    </w:p>
    <w:p w:rsidR="003C6D23" w:rsidRDefault="003C6D23" w:rsidP="003C6D23">
      <w:pPr>
        <w:pStyle w:val="ListParagraph"/>
        <w:numPr>
          <w:ilvl w:val="0"/>
          <w:numId w:val="2"/>
        </w:numPr>
        <w:rPr>
          <w:rFonts w:ascii="Times" w:hAnsi="Times" w:cs="Times New Roman"/>
          <w:sz w:val="24"/>
          <w:szCs w:val="24"/>
        </w:rPr>
      </w:pPr>
      <w:r w:rsidRPr="007351EC">
        <w:rPr>
          <w:rFonts w:ascii="Times" w:hAnsi="Times" w:cs="Times New Roman"/>
          <w:sz w:val="24"/>
          <w:szCs w:val="24"/>
        </w:rPr>
        <w:t xml:space="preserve">German sues a Frenchman: No – </w:t>
      </w:r>
      <w:proofErr w:type="gramStart"/>
      <w:r w:rsidRPr="007351EC">
        <w:rPr>
          <w:rFonts w:ascii="Times" w:hAnsi="Times" w:cs="Times New Roman"/>
          <w:sz w:val="24"/>
          <w:szCs w:val="24"/>
        </w:rPr>
        <w:t>is not covered</w:t>
      </w:r>
      <w:proofErr w:type="gramEnd"/>
      <w:r w:rsidRPr="007351EC">
        <w:rPr>
          <w:rFonts w:ascii="Times" w:hAnsi="Times" w:cs="Times New Roman"/>
          <w:sz w:val="24"/>
          <w:szCs w:val="24"/>
        </w:rPr>
        <w:t xml:space="preserve"> by 1332(a). </w:t>
      </w:r>
    </w:p>
    <w:p w:rsidR="003C6D23" w:rsidRPr="007351EC" w:rsidRDefault="003C6D23" w:rsidP="003C6D23">
      <w:pPr>
        <w:pStyle w:val="ListParagraph"/>
        <w:numPr>
          <w:ilvl w:val="1"/>
          <w:numId w:val="2"/>
        </w:numPr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Also Congress could not send to federal court</w:t>
      </w:r>
    </w:p>
    <w:p w:rsidR="003C6D23" w:rsidRPr="007351EC" w:rsidRDefault="003C6D23" w:rsidP="003C6D23">
      <w:pPr>
        <w:pStyle w:val="ListParagraph"/>
        <w:numPr>
          <w:ilvl w:val="0"/>
          <w:numId w:val="2"/>
        </w:numPr>
        <w:rPr>
          <w:rFonts w:ascii="Times" w:hAnsi="Times" w:cs="Times New Roman"/>
          <w:sz w:val="24"/>
          <w:szCs w:val="24"/>
        </w:rPr>
      </w:pPr>
      <w:r w:rsidRPr="007351EC">
        <w:rPr>
          <w:rFonts w:ascii="Times" w:hAnsi="Times" w:cs="Times New Roman"/>
          <w:sz w:val="24"/>
          <w:szCs w:val="24"/>
        </w:rPr>
        <w:t>New Yorker sues a Californian and Frenchman: Yes, under (3) – citizens of different state</w:t>
      </w:r>
      <w:r>
        <w:rPr>
          <w:rFonts w:ascii="Times" w:hAnsi="Times" w:cs="Times New Roman"/>
          <w:sz w:val="24"/>
          <w:szCs w:val="24"/>
        </w:rPr>
        <w:t>s</w:t>
      </w:r>
      <w:r w:rsidRPr="007351EC">
        <w:rPr>
          <w:rFonts w:ascii="Times" w:hAnsi="Times" w:cs="Times New Roman"/>
          <w:sz w:val="24"/>
          <w:szCs w:val="24"/>
        </w:rPr>
        <w:t xml:space="preserve"> and can add subjects of foreign states as parties. </w:t>
      </w:r>
    </w:p>
    <w:p w:rsidR="003C6D23" w:rsidRPr="007351EC" w:rsidRDefault="003C6D23" w:rsidP="003C6D23">
      <w:pPr>
        <w:pStyle w:val="ListParagraph"/>
        <w:numPr>
          <w:ilvl w:val="0"/>
          <w:numId w:val="2"/>
        </w:numPr>
        <w:rPr>
          <w:rFonts w:ascii="Times" w:hAnsi="Times" w:cs="Times New Roman"/>
          <w:sz w:val="24"/>
          <w:szCs w:val="24"/>
        </w:rPr>
      </w:pPr>
      <w:r w:rsidRPr="007351EC">
        <w:rPr>
          <w:rFonts w:ascii="Times" w:hAnsi="Times" w:cs="Times New Roman"/>
          <w:sz w:val="24"/>
          <w:szCs w:val="24"/>
        </w:rPr>
        <w:t xml:space="preserve">New Yorker and a German sue a Californian and a German: Yes, under (3) – fine to add foreign parties. Does not say what side the foreign parties are </w:t>
      </w:r>
      <w:proofErr w:type="gramStart"/>
      <w:r w:rsidRPr="007351EC">
        <w:rPr>
          <w:rFonts w:ascii="Times" w:hAnsi="Times" w:cs="Times New Roman"/>
          <w:sz w:val="24"/>
          <w:szCs w:val="24"/>
        </w:rPr>
        <w:t>on</w:t>
      </w:r>
      <w:proofErr w:type="gramEnd"/>
      <w:r w:rsidRPr="007351EC">
        <w:rPr>
          <w:rFonts w:ascii="Times" w:hAnsi="Times" w:cs="Times New Roman"/>
          <w:sz w:val="24"/>
          <w:szCs w:val="24"/>
        </w:rPr>
        <w:t xml:space="preserve">. </w:t>
      </w:r>
    </w:p>
    <w:p w:rsidR="003C6D23" w:rsidRPr="007351EC" w:rsidRDefault="003C6D23" w:rsidP="003C6D23">
      <w:pPr>
        <w:pStyle w:val="ListParagraph"/>
        <w:numPr>
          <w:ilvl w:val="0"/>
          <w:numId w:val="2"/>
        </w:numPr>
        <w:rPr>
          <w:rFonts w:ascii="Times" w:hAnsi="Times" w:cs="Times New Roman"/>
          <w:sz w:val="24"/>
          <w:szCs w:val="24"/>
        </w:rPr>
      </w:pPr>
      <w:r w:rsidRPr="007351EC">
        <w:rPr>
          <w:rFonts w:ascii="Times" w:hAnsi="Times" w:cs="Times New Roman"/>
          <w:sz w:val="24"/>
          <w:szCs w:val="24"/>
        </w:rPr>
        <w:t>Californian sues a French citizen admitted for permanent residency in the U.S. who is domiciled in California: No, not a proper alienage case under 1332(a</w:t>
      </w:r>
      <w:proofErr w:type="gramStart"/>
      <w:r w:rsidRPr="007351EC">
        <w:rPr>
          <w:rFonts w:ascii="Times" w:hAnsi="Times" w:cs="Times New Roman"/>
          <w:sz w:val="24"/>
          <w:szCs w:val="24"/>
        </w:rPr>
        <w:t>)(</w:t>
      </w:r>
      <w:proofErr w:type="gramEnd"/>
      <w:r w:rsidRPr="007351EC">
        <w:rPr>
          <w:rFonts w:ascii="Times" w:hAnsi="Times" w:cs="Times New Roman"/>
          <w:sz w:val="24"/>
          <w:szCs w:val="24"/>
        </w:rPr>
        <w:t>2) – once a person has permanent residency and is domiciled in the same state as the plaintiff, assumption of bias is eliminated. Person has a sufficient connection to California. Do not say that the Frenchman is a citizen of a state – just say no alienage jurisdiction under 1332(a)(2)</w:t>
      </w:r>
    </w:p>
    <w:p w:rsidR="003C6D23" w:rsidRPr="007351EC" w:rsidRDefault="003C6D23" w:rsidP="003C6D23">
      <w:pPr>
        <w:pStyle w:val="ListParagraph"/>
        <w:numPr>
          <w:ilvl w:val="0"/>
          <w:numId w:val="2"/>
        </w:numPr>
        <w:rPr>
          <w:rFonts w:ascii="Times" w:hAnsi="Times" w:cs="Times New Roman"/>
          <w:sz w:val="24"/>
          <w:szCs w:val="24"/>
        </w:rPr>
      </w:pPr>
      <w:r w:rsidRPr="007351EC">
        <w:rPr>
          <w:rFonts w:ascii="Times" w:hAnsi="Times" w:cs="Times New Roman"/>
          <w:sz w:val="24"/>
          <w:szCs w:val="24"/>
        </w:rPr>
        <w:t xml:space="preserve">German sues French citizen admitted for permanent residency in the U.S. who </w:t>
      </w:r>
      <w:proofErr w:type="gramStart"/>
      <w:r w:rsidRPr="007351EC">
        <w:rPr>
          <w:rFonts w:ascii="Times" w:hAnsi="Times" w:cs="Times New Roman"/>
          <w:sz w:val="24"/>
          <w:szCs w:val="24"/>
        </w:rPr>
        <w:t>is domiciled</w:t>
      </w:r>
      <w:proofErr w:type="gramEnd"/>
      <w:r w:rsidRPr="007351EC">
        <w:rPr>
          <w:rFonts w:ascii="Times" w:hAnsi="Times" w:cs="Times New Roman"/>
          <w:sz w:val="24"/>
          <w:szCs w:val="24"/>
        </w:rPr>
        <w:t xml:space="preserve"> in California: No – Frenchman may be domiciled in a state, but he is not a citizen of a state. </w:t>
      </w:r>
    </w:p>
    <w:p w:rsidR="003C6D23" w:rsidRPr="007351EC" w:rsidRDefault="003C6D23" w:rsidP="003C6D23">
      <w:pPr>
        <w:pStyle w:val="ListParagraph"/>
        <w:numPr>
          <w:ilvl w:val="1"/>
          <w:numId w:val="2"/>
        </w:numPr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not even be</w:t>
      </w:r>
      <w:r w:rsidRPr="007351EC">
        <w:rPr>
          <w:rFonts w:ascii="Times" w:hAnsi="Times" w:cs="Times New Roman"/>
          <w:sz w:val="24"/>
          <w:szCs w:val="24"/>
        </w:rPr>
        <w:t xml:space="preserve"> constitutional for Congress to send this case to federal cour</w:t>
      </w:r>
      <w:r>
        <w:rPr>
          <w:rFonts w:ascii="Times" w:hAnsi="Times" w:cs="Times New Roman"/>
          <w:sz w:val="24"/>
          <w:szCs w:val="24"/>
        </w:rPr>
        <w:t>t</w:t>
      </w:r>
    </w:p>
    <w:p w:rsidR="003C6D23" w:rsidRPr="007351EC" w:rsidRDefault="003C6D23" w:rsidP="003C6D23">
      <w:pPr>
        <w:pStyle w:val="ListParagraph"/>
        <w:numPr>
          <w:ilvl w:val="0"/>
          <w:numId w:val="2"/>
        </w:numPr>
        <w:rPr>
          <w:rFonts w:ascii="Times" w:hAnsi="Times" w:cs="Times New Roman"/>
          <w:sz w:val="24"/>
          <w:szCs w:val="24"/>
        </w:rPr>
      </w:pPr>
      <w:r w:rsidRPr="007351EC">
        <w:rPr>
          <w:rFonts w:ascii="Times" w:hAnsi="Times" w:cs="Times New Roman"/>
          <w:sz w:val="24"/>
          <w:szCs w:val="24"/>
        </w:rPr>
        <w:t xml:space="preserve">California sues Elizabeth Taylor, an American national domiciled in France: </w:t>
      </w:r>
    </w:p>
    <w:p w:rsidR="003C6D23" w:rsidRPr="007351EC" w:rsidRDefault="003C6D23" w:rsidP="003C6D23">
      <w:pPr>
        <w:pStyle w:val="ListParagraph"/>
        <w:numPr>
          <w:ilvl w:val="1"/>
          <w:numId w:val="2"/>
        </w:numPr>
        <w:rPr>
          <w:rFonts w:ascii="Times" w:hAnsi="Times" w:cs="Times New Roman"/>
          <w:sz w:val="24"/>
          <w:szCs w:val="24"/>
        </w:rPr>
      </w:pPr>
      <w:proofErr w:type="gramStart"/>
      <w:r w:rsidRPr="007351EC">
        <w:rPr>
          <w:rFonts w:ascii="Times" w:hAnsi="Times" w:cs="Times New Roman"/>
          <w:sz w:val="24"/>
          <w:szCs w:val="24"/>
        </w:rPr>
        <w:lastRenderedPageBreak/>
        <w:t>Taylor is a U.S. national, but is not a citizen of any state.</w:t>
      </w:r>
      <w:proofErr w:type="gramEnd"/>
      <w:r w:rsidRPr="007351EC">
        <w:rPr>
          <w:rFonts w:ascii="Times" w:hAnsi="Times" w:cs="Times New Roman"/>
          <w:sz w:val="24"/>
          <w:szCs w:val="24"/>
        </w:rPr>
        <w:t xml:space="preserve"> Is not an alienage case or a diversity case under 1332(a)</w:t>
      </w:r>
      <w:proofErr w:type="gramStart"/>
      <w:r w:rsidRPr="007351EC">
        <w:rPr>
          <w:rFonts w:ascii="Times" w:hAnsi="Times" w:cs="Times New Roman"/>
          <w:sz w:val="24"/>
          <w:szCs w:val="24"/>
        </w:rPr>
        <w:t>.</w:t>
      </w:r>
      <w:proofErr w:type="gramEnd"/>
      <w:r w:rsidRPr="007351EC">
        <w:rPr>
          <w:rFonts w:ascii="Times" w:hAnsi="Times" w:cs="Times New Roman"/>
          <w:sz w:val="24"/>
          <w:szCs w:val="24"/>
        </w:rPr>
        <w:t xml:space="preserve"> Probably </w:t>
      </w:r>
      <w:proofErr w:type="gramStart"/>
      <w:r w:rsidRPr="007351EC">
        <w:rPr>
          <w:rFonts w:ascii="Times" w:hAnsi="Times" w:cs="Times New Roman"/>
          <w:sz w:val="24"/>
          <w:szCs w:val="24"/>
        </w:rPr>
        <w:t>not</w:t>
      </w:r>
      <w:proofErr w:type="gramEnd"/>
      <w:r w:rsidRPr="007351EC">
        <w:rPr>
          <w:rFonts w:ascii="Times" w:hAnsi="Times" w:cs="Times New Roman"/>
          <w:sz w:val="24"/>
          <w:szCs w:val="24"/>
        </w:rPr>
        <w:t xml:space="preserve"> even constitutional for Congress to send it to federal court. </w:t>
      </w:r>
    </w:p>
    <w:p w:rsidR="003C6D23" w:rsidRPr="007351EC" w:rsidRDefault="003C6D23" w:rsidP="003C6D23">
      <w:pPr>
        <w:pStyle w:val="ListParagraph"/>
        <w:numPr>
          <w:ilvl w:val="0"/>
          <w:numId w:val="2"/>
        </w:numPr>
        <w:rPr>
          <w:rFonts w:ascii="Times" w:hAnsi="Times" w:cs="Times New Roman"/>
          <w:sz w:val="24"/>
          <w:szCs w:val="24"/>
        </w:rPr>
      </w:pPr>
      <w:r w:rsidRPr="007351EC">
        <w:rPr>
          <w:rFonts w:ascii="Times" w:hAnsi="Times" w:cs="Times New Roman"/>
          <w:sz w:val="24"/>
          <w:szCs w:val="24"/>
        </w:rPr>
        <w:t xml:space="preserve">Dred Scott diversity jurisdiction: </w:t>
      </w:r>
    </w:p>
    <w:p w:rsidR="003C6D23" w:rsidRPr="007351EC" w:rsidRDefault="003C6D23" w:rsidP="003C6D23">
      <w:pPr>
        <w:pStyle w:val="ListParagraph"/>
        <w:numPr>
          <w:ilvl w:val="1"/>
          <w:numId w:val="2"/>
        </w:numPr>
        <w:rPr>
          <w:rFonts w:ascii="Times" w:hAnsi="Times" w:cs="Times New Roman"/>
          <w:sz w:val="24"/>
          <w:szCs w:val="24"/>
        </w:rPr>
      </w:pPr>
      <w:r w:rsidRPr="007351EC">
        <w:rPr>
          <w:rFonts w:ascii="Times" w:hAnsi="Times" w:cs="Times New Roman"/>
          <w:sz w:val="24"/>
          <w:szCs w:val="24"/>
        </w:rPr>
        <w:t>State law case. Only way to get into federal court was for Scott to be a citizen of a state and the court concluded he was not.</w:t>
      </w:r>
    </w:p>
    <w:p w:rsidR="003C6D23" w:rsidRPr="007351EC" w:rsidRDefault="003C6D23" w:rsidP="003C6D23">
      <w:pPr>
        <w:pStyle w:val="ListParagraph"/>
        <w:numPr>
          <w:ilvl w:val="0"/>
          <w:numId w:val="2"/>
        </w:numPr>
        <w:rPr>
          <w:rFonts w:ascii="Times" w:hAnsi="Times" w:cs="Times New Roman"/>
          <w:sz w:val="24"/>
          <w:szCs w:val="24"/>
        </w:rPr>
      </w:pPr>
      <w:r w:rsidRPr="007351EC">
        <w:rPr>
          <w:rFonts w:ascii="Times" w:hAnsi="Times" w:cs="Times New Roman"/>
          <w:sz w:val="24"/>
          <w:szCs w:val="24"/>
        </w:rPr>
        <w:t>A German sues a Frenchman and a New Yorker: No, does not fit under alienage jurisdiction. No complete alienage. There are aliens on both sides of the v. Need a co-plaintiff who is a citizen of a state (other than New York) (to fit it under 1332(a</w:t>
      </w:r>
      <w:proofErr w:type="gramStart"/>
      <w:r w:rsidRPr="007351EC">
        <w:rPr>
          <w:rFonts w:ascii="Times" w:hAnsi="Times" w:cs="Times New Roman"/>
          <w:sz w:val="24"/>
          <w:szCs w:val="24"/>
        </w:rPr>
        <w:t>)(</w:t>
      </w:r>
      <w:proofErr w:type="gramEnd"/>
      <w:r w:rsidRPr="007351EC">
        <w:rPr>
          <w:rFonts w:ascii="Times" w:hAnsi="Times" w:cs="Times New Roman"/>
          <w:sz w:val="24"/>
          <w:szCs w:val="24"/>
        </w:rPr>
        <w:t xml:space="preserve">3)) or drop Frenchman to sue in federal court. </w:t>
      </w:r>
      <w:bookmarkStart w:id="0" w:name="_GoBack"/>
      <w:bookmarkEnd w:id="0"/>
    </w:p>
    <w:p w:rsidR="003C6D23" w:rsidRDefault="003C6D23"/>
    <w:sectPr w:rsidR="003C6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4BB2"/>
    <w:multiLevelType w:val="hybridMultilevel"/>
    <w:tmpl w:val="68F04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8143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C6778A"/>
    <w:multiLevelType w:val="hybridMultilevel"/>
    <w:tmpl w:val="5186F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47D52"/>
    <w:multiLevelType w:val="hybridMultilevel"/>
    <w:tmpl w:val="441C5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7601AD"/>
    <w:multiLevelType w:val="hybridMultilevel"/>
    <w:tmpl w:val="A1C823C4"/>
    <w:lvl w:ilvl="0" w:tplc="6E923354">
      <w:numFmt w:val="bullet"/>
      <w:lvlText w:val="-"/>
      <w:lvlJc w:val="left"/>
      <w:pPr>
        <w:ind w:left="720" w:hanging="360"/>
      </w:pPr>
      <w:rPr>
        <w:rFonts w:ascii="Times" w:eastAsiaTheme="minorHAnsi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87C54"/>
    <w:multiLevelType w:val="hybridMultilevel"/>
    <w:tmpl w:val="FC8AC9D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23"/>
    <w:rsid w:val="00080454"/>
    <w:rsid w:val="003C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09DD"/>
  <w15:chartTrackingRefBased/>
  <w15:docId w15:val="{335373F6-84FC-4312-ACC6-F4D9285F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1187</Words>
  <Characters>6771</Characters>
  <Application>Microsoft Office Word</Application>
  <DocSecurity>0</DocSecurity>
  <Lines>56</Lines>
  <Paragraphs>15</Paragraphs>
  <ScaleCrop>false</ScaleCrop>
  <Company>College of William and Mary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Michael S</dc:creator>
  <cp:keywords/>
  <dc:description/>
  <cp:lastModifiedBy>Green, Michael S</cp:lastModifiedBy>
  <cp:revision>1</cp:revision>
  <dcterms:created xsi:type="dcterms:W3CDTF">2019-08-28T16:06:00Z</dcterms:created>
  <dcterms:modified xsi:type="dcterms:W3CDTF">2019-08-28T16:16:00Z</dcterms:modified>
</cp:coreProperties>
</file>