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2A4FD" w14:textId="77777777" w:rsidR="00917B46" w:rsidRDefault="00917B46" w:rsidP="00917B46">
      <w:pPr>
        <w:pStyle w:val="ListParagraph"/>
        <w:numPr>
          <w:ilvl w:val="0"/>
          <w:numId w:val="1"/>
        </w:numPr>
      </w:pPr>
      <w:r w:rsidRPr="001C695D">
        <w:rPr>
          <w:i/>
        </w:rPr>
        <w:t>McGee v. International Life Insurance Co.</w:t>
      </w:r>
      <w:r>
        <w:t xml:space="preserve"> (US 1957) (p185)</w:t>
      </w:r>
    </w:p>
    <w:p w14:paraId="70804CE2" w14:textId="77777777" w:rsidR="00917B46" w:rsidRDefault="00917B46" w:rsidP="00917B46">
      <w:pPr>
        <w:pStyle w:val="ListParagraph"/>
        <w:numPr>
          <w:ilvl w:val="1"/>
          <w:numId w:val="1"/>
        </w:numPr>
      </w:pPr>
      <w:r>
        <w:t xml:space="preserve">How specific in </w:t>
      </w:r>
      <w:proofErr w:type="spellStart"/>
      <w:r>
        <w:t>personam</w:t>
      </w:r>
      <w:proofErr w:type="spellEnd"/>
      <w:r>
        <w:t xml:space="preserve"> jurisdiction works</w:t>
      </w:r>
    </w:p>
    <w:p w14:paraId="0512652E" w14:textId="77777777" w:rsidR="00917B46" w:rsidRDefault="00917B46" w:rsidP="00917B46">
      <w:pPr>
        <w:pStyle w:val="ListParagraph"/>
        <w:numPr>
          <w:ilvl w:val="1"/>
          <w:numId w:val="1"/>
        </w:numPr>
      </w:pPr>
      <w:r>
        <w:t xml:space="preserve">Case that was appealed to </w:t>
      </w:r>
      <w:proofErr w:type="spellStart"/>
      <w:r>
        <w:t>USSCt</w:t>
      </w:r>
      <w:proofErr w:type="spellEnd"/>
      <w:r>
        <w:t xml:space="preserve"> – TX state court refused to enforce judgment of CA court (a default judgment against TX life insurance company)</w:t>
      </w:r>
    </w:p>
    <w:p w14:paraId="2DC0388E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 xml:space="preserve">Beneficiary’s TX cause of action – suing insurance company for debt created by the California judgment </w:t>
      </w:r>
    </w:p>
    <w:p w14:paraId="424664D2" w14:textId="77777777" w:rsidR="00917B46" w:rsidRDefault="00917B46" w:rsidP="00917B46">
      <w:pPr>
        <w:pStyle w:val="ListParagraph"/>
        <w:numPr>
          <w:ilvl w:val="3"/>
          <w:numId w:val="1"/>
        </w:numPr>
      </w:pPr>
      <w:r>
        <w:t xml:space="preserve">Judgment creates a debt </w:t>
      </w:r>
    </w:p>
    <w:p w14:paraId="21969FD6" w14:textId="77777777" w:rsidR="00917B46" w:rsidRDefault="00917B46" w:rsidP="00917B46">
      <w:pPr>
        <w:pStyle w:val="ListParagraph"/>
        <w:numPr>
          <w:ilvl w:val="4"/>
          <w:numId w:val="1"/>
        </w:numPr>
      </w:pPr>
      <w:r>
        <w:t xml:space="preserve">AND collecting the debt requires new cause of action (debt collection action) brought where the judgment debtor has assets </w:t>
      </w:r>
    </w:p>
    <w:p w14:paraId="2A7E9C86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>Life insurance company argued there was no judgment debt because the CA judgment was void due to want of personal jurisdiction</w:t>
      </w:r>
    </w:p>
    <w:p w14:paraId="56479AF8" w14:textId="77777777" w:rsidR="00917B46" w:rsidRDefault="00917B46" w:rsidP="00917B46">
      <w:pPr>
        <w:pStyle w:val="ListParagraph"/>
        <w:numPr>
          <w:ilvl w:val="1"/>
          <w:numId w:val="1"/>
        </w:numPr>
      </w:pPr>
      <w:r>
        <w:t>Original CA case – plaintiff, a beneficiary of the life insurance policy of her son, sued for breach of contract because company would not pay on policy - life insurance company defaulted (did not show up); company had argued that death was not covered by policy because it was due to suicide</w:t>
      </w:r>
    </w:p>
    <w:p w14:paraId="1410F137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>By defaulting on first judgment, cannot challenge liability on contract action collaterally if judgment is determined to be valid because there was PJ</w:t>
      </w:r>
    </w:p>
    <w:p w14:paraId="69028BA4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>Ins Co was taking a big chance</w:t>
      </w:r>
    </w:p>
    <w:p w14:paraId="21B4096B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 xml:space="preserve">But there was a benefit too – by defaulting and waiting for the plaintiff to sue on the judgment in TX (where the D had assets), TX courts would be determining the PJ of the CA </w:t>
      </w:r>
      <w:proofErr w:type="spellStart"/>
      <w:r>
        <w:t>ct</w:t>
      </w:r>
      <w:proofErr w:type="spellEnd"/>
      <w:r>
        <w:t xml:space="preserve"> – this is a collateral attack</w:t>
      </w:r>
    </w:p>
    <w:p w14:paraId="12DA047F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 xml:space="preserve">If they had challenged PJ before the CA state </w:t>
      </w:r>
      <w:proofErr w:type="spellStart"/>
      <w:r>
        <w:t>ct</w:t>
      </w:r>
      <w:proofErr w:type="spellEnd"/>
      <w:r>
        <w:t xml:space="preserve"> (that is, made a direct attack), the CA </w:t>
      </w:r>
      <w:proofErr w:type="spellStart"/>
      <w:r>
        <w:t>ct</w:t>
      </w:r>
      <w:proofErr w:type="spellEnd"/>
      <w:r>
        <w:t xml:space="preserve"> would be determining its own PJ</w:t>
      </w:r>
    </w:p>
    <w:p w14:paraId="50EB3F92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 xml:space="preserve">Unfortunately for the D, the </w:t>
      </w:r>
      <w:proofErr w:type="spellStart"/>
      <w:r>
        <w:t>USSCt</w:t>
      </w:r>
      <w:proofErr w:type="spellEnd"/>
      <w:r>
        <w:t xml:space="preserve"> took the case on appeal from the TX courts and held there was PJ</w:t>
      </w:r>
    </w:p>
    <w:p w14:paraId="6BF2B029" w14:textId="77777777" w:rsidR="00917B46" w:rsidRDefault="00917B46" w:rsidP="00917B46">
      <w:pPr>
        <w:pStyle w:val="ListParagraph"/>
        <w:numPr>
          <w:ilvl w:val="1"/>
          <w:numId w:val="1"/>
        </w:numPr>
      </w:pPr>
      <w:r>
        <w:t>Only contact by Company in CA - mailed reinsurance certificate (contract) to CA</w:t>
      </w:r>
    </w:p>
    <w:p w14:paraId="585CF2DA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 xml:space="preserve">BUT despite small contact, the contract that P was suing on was that very document </w:t>
      </w:r>
    </w:p>
    <w:p w14:paraId="00DD8D03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>Small contact but cause of action closely related to the contact</w:t>
      </w:r>
    </w:p>
    <w:p w14:paraId="4E774A36" w14:textId="77777777" w:rsidR="00917B46" w:rsidRDefault="00917B46" w:rsidP="00917B46">
      <w:pPr>
        <w:pStyle w:val="ListParagraph"/>
        <w:ind w:left="2160"/>
      </w:pPr>
    </w:p>
    <w:p w14:paraId="5166D435" w14:textId="77777777" w:rsidR="00917B46" w:rsidRDefault="00917B46" w:rsidP="00917B46">
      <w:pPr>
        <w:pStyle w:val="ListParagraph"/>
        <w:numPr>
          <w:ilvl w:val="1"/>
          <w:numId w:val="1"/>
        </w:numPr>
      </w:pPr>
      <w:r>
        <w:t>Court’s rationale was problematic though</w:t>
      </w:r>
    </w:p>
    <w:p w14:paraId="70E7CB58" w14:textId="77777777" w:rsidR="00917B46" w:rsidRDefault="00917B46" w:rsidP="00917B46">
      <w:pPr>
        <w:pStyle w:val="ListParagraph"/>
        <w:numPr>
          <w:ilvl w:val="1"/>
          <w:numId w:val="1"/>
        </w:numPr>
      </w:pPr>
      <w:r>
        <w:t xml:space="preserve">The power theory in Intl Show was about what the </w:t>
      </w:r>
      <w:r w:rsidRPr="00932E0A">
        <w:rPr>
          <w:b/>
          <w:i/>
          <w:u w:val="single"/>
        </w:rPr>
        <w:t>D</w:t>
      </w:r>
      <w:r>
        <w:t xml:space="preserve"> did to reach out to the forum state and create a reciprocal obligation to return</w:t>
      </w:r>
    </w:p>
    <w:p w14:paraId="0770E3DC" w14:textId="2BC360A1" w:rsidR="00917B46" w:rsidRDefault="00917B46" w:rsidP="00917B46">
      <w:pPr>
        <w:pStyle w:val="ListParagraph"/>
        <w:numPr>
          <w:ilvl w:val="1"/>
          <w:numId w:val="1"/>
        </w:numPr>
      </w:pPr>
      <w:r>
        <w:t>But McGee c</w:t>
      </w:r>
      <w:r>
        <w:t>ourt starts mentioning other considerations unrelated to what the D did</w:t>
      </w:r>
    </w:p>
    <w:p w14:paraId="10E23030" w14:textId="77777777" w:rsidR="00917B46" w:rsidRDefault="00917B46" w:rsidP="00917B46">
      <w:pPr>
        <w:pStyle w:val="ListParagraph"/>
        <w:numPr>
          <w:ilvl w:val="1"/>
          <w:numId w:val="1"/>
        </w:numPr>
      </w:pPr>
      <w:r w:rsidRPr="00932E0A">
        <w:t xml:space="preserve">It </w:t>
      </w:r>
      <w:proofErr w:type="gramStart"/>
      <w:r w:rsidRPr="00932E0A">
        <w:t>cannot be denied</w:t>
      </w:r>
      <w:proofErr w:type="gramEnd"/>
      <w:r w:rsidRPr="00932E0A">
        <w:t xml:space="preserve"> that California has a manifest interest in providing effective means of redress for its residents when their insurers refuse to pay claims. These residents would be at a severe disadvantage if they </w:t>
      </w:r>
      <w:proofErr w:type="gramStart"/>
      <w:r w:rsidRPr="00932E0A">
        <w:t>were forced</w:t>
      </w:r>
      <w:proofErr w:type="gramEnd"/>
      <w:r w:rsidRPr="00932E0A">
        <w:t xml:space="preserve"> to follow the insurance company to a distant State in order to hold it legally accountable. When claims were small or moderate individual claimants frequently could not afford the cost of bringing an action in a foreign forum - thus in effect making the company judgment proof. Often the crucial witnesses - as here on the company's defense of suicide - </w:t>
      </w:r>
      <w:proofErr w:type="gramStart"/>
      <w:r w:rsidRPr="00932E0A">
        <w:t>will be found</w:t>
      </w:r>
      <w:proofErr w:type="gramEnd"/>
      <w:r w:rsidRPr="00932E0A">
        <w:t xml:space="preserve"> in the insured's locality. Of </w:t>
      </w:r>
      <w:proofErr w:type="gramStart"/>
      <w:r w:rsidRPr="00932E0A">
        <w:t>course</w:t>
      </w:r>
      <w:proofErr w:type="gramEnd"/>
      <w:r w:rsidRPr="00932E0A">
        <w:t xml:space="preserve"> there may be </w:t>
      </w:r>
      <w:r w:rsidRPr="00932E0A">
        <w:lastRenderedPageBreak/>
        <w:t>inconvenience to the insurer if it is held amenable to suit in California where it had this contract but certainly nothing which amounts to a denial of due process.</w:t>
      </w:r>
    </w:p>
    <w:p w14:paraId="505F5CEE" w14:textId="77777777" w:rsidR="00917B46" w:rsidRDefault="00917B46" w:rsidP="00917B46">
      <w:pPr>
        <w:pStyle w:val="ListParagraph"/>
        <w:numPr>
          <w:ilvl w:val="3"/>
          <w:numId w:val="1"/>
        </w:numPr>
      </w:pPr>
      <w:r>
        <w:t>McGee factors don’t match International Shoe theory of power</w:t>
      </w:r>
    </w:p>
    <w:p w14:paraId="757CF8D7" w14:textId="77777777" w:rsidR="00917B46" w:rsidRDefault="00917B46" w:rsidP="00917B46">
      <w:pPr>
        <w:pStyle w:val="ListParagraph"/>
        <w:numPr>
          <w:ilvl w:val="2"/>
          <w:numId w:val="1"/>
        </w:numPr>
      </w:pPr>
      <w:r>
        <w:t>They become an independent set of considerations besides Int’l Shoe power theory</w:t>
      </w:r>
    </w:p>
    <w:p w14:paraId="382439DE" w14:textId="77777777" w:rsidR="00917B46" w:rsidRDefault="00917B46" w:rsidP="00100CD6">
      <w:pPr>
        <w:pStyle w:val="ListParagraph"/>
        <w:numPr>
          <w:ilvl w:val="1"/>
          <w:numId w:val="1"/>
        </w:numPr>
      </w:pPr>
    </w:p>
    <w:p w14:paraId="3150B520" w14:textId="56633CE6" w:rsidR="00100CD6" w:rsidRDefault="00100CD6" w:rsidP="00100CD6">
      <w:pPr>
        <w:pStyle w:val="ListParagraph"/>
        <w:numPr>
          <w:ilvl w:val="1"/>
          <w:numId w:val="1"/>
        </w:numPr>
      </w:pPr>
      <w:r>
        <w:t>Hypotheticals</w:t>
      </w:r>
    </w:p>
    <w:p w14:paraId="3ADE7FDB" w14:textId="53CCA0D4" w:rsidR="00646C44" w:rsidRDefault="00646C44" w:rsidP="00100CD6">
      <w:pPr>
        <w:pStyle w:val="ListParagraph"/>
        <w:numPr>
          <w:ilvl w:val="1"/>
          <w:numId w:val="1"/>
        </w:numPr>
      </w:pPr>
      <w:r w:rsidRPr="00646C44">
        <w:t>what if McGee’s son has heard about Int’l Life Ins. Co. from a friend and had sent them an offer to insure him, which Int’l Life accepted?</w:t>
      </w:r>
    </w:p>
    <w:p w14:paraId="6C42C6B8" w14:textId="07EF935C" w:rsidR="00646C44" w:rsidRDefault="00646C44" w:rsidP="00646C44">
      <w:pPr>
        <w:pStyle w:val="ListParagraph"/>
        <w:numPr>
          <w:ilvl w:val="2"/>
          <w:numId w:val="1"/>
        </w:numPr>
      </w:pPr>
      <w:r>
        <w:t>Harder case – it is important for specific PJ in contract cases who initiates contact</w:t>
      </w:r>
      <w:r>
        <w:br/>
      </w:r>
    </w:p>
    <w:p w14:paraId="00416472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Original contract (insurance policy) with TX resident; insured then moves to CA, continues to mail premiums; PJ?</w:t>
      </w:r>
    </w:p>
    <w:p w14:paraId="67B71864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Probably not, because D did not make insured move – not something that D did to reach out to CA</w:t>
      </w:r>
    </w:p>
    <w:p w14:paraId="762FB042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Does not satisfy Int’l Shoe power theory</w:t>
      </w:r>
    </w:p>
    <w:p w14:paraId="1E89CCD7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Only argument is that D chose to keep relationship going with Californian by taking premiums</w:t>
      </w:r>
    </w:p>
    <w:p w14:paraId="27840722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Could disallow renewal of policy and possibly prevent PJ…</w:t>
      </w:r>
    </w:p>
    <w:p w14:paraId="0F127194" w14:textId="77777777" w:rsidR="00100CD6" w:rsidRDefault="00100CD6" w:rsidP="00100CD6">
      <w:pPr>
        <w:pStyle w:val="ListParagraph"/>
        <w:ind w:left="3600"/>
      </w:pPr>
    </w:p>
    <w:p w14:paraId="519C0684" w14:textId="77777777" w:rsidR="00100CD6" w:rsidRDefault="00100CD6" w:rsidP="00100CD6">
      <w:pPr>
        <w:pStyle w:val="ListParagraph"/>
        <w:numPr>
          <w:ilvl w:val="1"/>
          <w:numId w:val="1"/>
        </w:numPr>
      </w:pPr>
      <w:proofErr w:type="spellStart"/>
      <w:r>
        <w:t>Glannon</w:t>
      </w:r>
      <w:proofErr w:type="spellEnd"/>
      <w:r>
        <w:t xml:space="preserve"> suggests that there will always be PJ when a company ships a product to the forum state</w:t>
      </w:r>
    </w:p>
    <w:p w14:paraId="69B2E84B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Green – usually but not always -</w:t>
      </w:r>
    </w:p>
    <w:p w14:paraId="0F866622" w14:textId="77777777" w:rsidR="00100CD6" w:rsidRDefault="00100CD6" w:rsidP="00100CD6">
      <w:pPr>
        <w:pStyle w:val="ListParagraph"/>
        <w:numPr>
          <w:ilvl w:val="2"/>
          <w:numId w:val="1"/>
        </w:numPr>
      </w:pPr>
      <w:r w:rsidRPr="009E7DD5">
        <w:rPr>
          <w:i/>
        </w:rPr>
        <w:t>Chung v. NANA Development Corp.</w:t>
      </w:r>
      <w:r>
        <w:t xml:space="preserve"> 783 F.2d 1124 (4</w:t>
      </w:r>
      <w:r w:rsidRPr="009D6385">
        <w:rPr>
          <w:vertAlign w:val="superscript"/>
        </w:rPr>
        <w:t>th</w:t>
      </w:r>
      <w:r>
        <w:t xml:space="preserve"> Circ. 1986)</w:t>
      </w:r>
    </w:p>
    <w:p w14:paraId="3208D482" w14:textId="77777777" w:rsidR="00100CD6" w:rsidRDefault="00100CD6" w:rsidP="00100CD6">
      <w:pPr>
        <w:pStyle w:val="ListParagraph"/>
        <w:numPr>
          <w:ilvl w:val="3"/>
          <w:numId w:val="1"/>
        </w:numPr>
      </w:pPr>
      <w:r w:rsidRPr="003476BD">
        <w:t xml:space="preserve">Va. P goes to Alaska to buy reindeer horns from Alaska D. </w:t>
      </w:r>
      <w:r w:rsidRPr="003476BD">
        <w:br/>
        <w:t xml:space="preserve">- Wants them to remain frozen. </w:t>
      </w:r>
      <w:r w:rsidRPr="003476BD">
        <w:br/>
        <w:t xml:space="preserve">- Requests that the D ship some of them to him in Va. </w:t>
      </w:r>
      <w:r w:rsidRPr="003476BD">
        <w:br/>
        <w:t>- When they arrive in Va. they are</w:t>
      </w:r>
      <w:r>
        <w:t xml:space="preserve"> melted. </w:t>
      </w:r>
      <w:r>
        <w:br/>
        <w:t xml:space="preserve">- P sues D in Va. </w:t>
      </w:r>
    </w:p>
    <w:p w14:paraId="17CD54DF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no PJ</w:t>
      </w:r>
    </w:p>
    <w:p w14:paraId="3B3DBA17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here the D did not reach out sufficiently to VA</w:t>
      </w:r>
    </w:p>
    <w:p w14:paraId="4A18DE58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it was the P’s idea to ship</w:t>
      </w:r>
    </w:p>
    <w:p w14:paraId="3716B594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it was a one-off shipment (not regular course of conduct)</w:t>
      </w:r>
    </w:p>
    <w:p w14:paraId="7D40BFE9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maybe it also matters that this was a contract case and not tort</w:t>
      </w:r>
    </w:p>
    <w:p w14:paraId="380F42FC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shipping a dangerous product to VA might create PJ for an accident concerning the product in VA even if it was a one-off shipment that was the P’s idea</w:t>
      </w:r>
    </w:p>
    <w:p w14:paraId="3C898268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No hard and fast rules – have to focus on what defendant did to reach out intentionally to the forum state (creativity allowed)</w:t>
      </w:r>
    </w:p>
    <w:p w14:paraId="025CA6DA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Emails, letters, etc. mailed to forum state are helpful factors to consider</w:t>
      </w:r>
    </w:p>
    <w:p w14:paraId="5243CFC3" w14:textId="77777777" w:rsidR="00100CD6" w:rsidRDefault="00100CD6" w:rsidP="00100CD6">
      <w:pPr>
        <w:pStyle w:val="ListParagraph"/>
        <w:numPr>
          <w:ilvl w:val="0"/>
          <w:numId w:val="1"/>
        </w:numPr>
      </w:pPr>
      <w:r w:rsidRPr="009E7DD5">
        <w:rPr>
          <w:i/>
        </w:rPr>
        <w:t>World-Wide Volkswagen v. Woodson</w:t>
      </w:r>
      <w:r>
        <w:t xml:space="preserve"> (US 1980) (p</w:t>
      </w:r>
    </w:p>
    <w:p w14:paraId="0E864336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lastRenderedPageBreak/>
        <w:t>Why is judge being mentioned (Woodson)? Defendants requesting writ of prohibition (or mandamus) from TX court of appeals against trial judge’s conduct</w:t>
      </w:r>
    </w:p>
    <w:p w14:paraId="4FCD1A26" w14:textId="43F5C06D" w:rsidR="00100CD6" w:rsidRDefault="00100CD6" w:rsidP="00100CD6">
      <w:pPr>
        <w:pStyle w:val="ListParagraph"/>
        <w:numPr>
          <w:ilvl w:val="2"/>
          <w:numId w:val="1"/>
        </w:numPr>
      </w:pPr>
      <w:r>
        <w:t xml:space="preserve">This is a way of getting immediate appeal of a trial court’s decision that there is PJ </w:t>
      </w:r>
      <w:r w:rsidR="00646C44">
        <w:t>– final judgment rule does not apply</w:t>
      </w:r>
    </w:p>
    <w:p w14:paraId="45E3FF65" w14:textId="202F8A4C" w:rsidR="00646C44" w:rsidRDefault="00646C44" w:rsidP="00100CD6">
      <w:pPr>
        <w:pStyle w:val="ListParagraph"/>
        <w:numPr>
          <w:ilvl w:val="2"/>
          <w:numId w:val="1"/>
        </w:numPr>
      </w:pPr>
      <w:r>
        <w:t xml:space="preserve">In federal </w:t>
      </w:r>
      <w:proofErr w:type="spellStart"/>
      <w:r>
        <w:t>ct</w:t>
      </w:r>
      <w:proofErr w:type="spellEnd"/>
      <w:r>
        <w:t xml:space="preserve"> it would be called an interlocutory appeal</w:t>
      </w:r>
    </w:p>
    <w:p w14:paraId="0A71121A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t xml:space="preserve">Facts – Robinsons suing four defendants (Audi, distributor – VW of America, local distributor Worldwide VW and Seaway) for product-liability stemming from car accident in OK; two defendants arguing against personal jurisdiction </w:t>
      </w:r>
    </w:p>
    <w:p w14:paraId="04007094" w14:textId="0490F8DA" w:rsidR="00100CD6" w:rsidRDefault="00100CD6" w:rsidP="001F6806">
      <w:pPr>
        <w:pStyle w:val="ListParagraph"/>
        <w:numPr>
          <w:ilvl w:val="1"/>
          <w:numId w:val="1"/>
        </w:numPr>
      </w:pPr>
      <w:r>
        <w:t xml:space="preserve">Procedural history – state court finds personal jurisdiction; two defendants request writ of </w:t>
      </w:r>
      <w:r w:rsidR="001F6806">
        <w:t>prohibition / writ of mandamus</w:t>
      </w:r>
    </w:p>
    <w:p w14:paraId="1FEB9F2E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t>Why including Seaway and World-Wide VW? (plaintiffs still New Yorkers)</w:t>
      </w:r>
    </w:p>
    <w:p w14:paraId="2D467124" w14:textId="1EAABA49" w:rsidR="00100CD6" w:rsidRDefault="00100CD6" w:rsidP="00100CD6">
      <w:pPr>
        <w:pStyle w:val="ListParagraph"/>
        <w:numPr>
          <w:ilvl w:val="2"/>
          <w:numId w:val="1"/>
        </w:numPr>
      </w:pPr>
      <w:r>
        <w:t xml:space="preserve">Joinder to </w:t>
      </w:r>
      <w:r w:rsidR="001F6806">
        <w:t>defeat</w:t>
      </w:r>
      <w:r>
        <w:t xml:space="preserve"> diversity (cannot be removed to federal court)</w:t>
      </w:r>
    </w:p>
    <w:p w14:paraId="026F4C39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Worried about summary judgment for defendants in federal court (actual result later on after actions against New York Ds were dismissed and the case was removed)</w:t>
      </w:r>
    </w:p>
    <w:p w14:paraId="02CBC788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Goal to join diversity destroying defendants (recall plaintiffs’ domicile is still NY)</w:t>
      </w:r>
    </w:p>
    <w:p w14:paraId="5EB24EF3" w14:textId="77777777" w:rsidR="00100CD6" w:rsidRDefault="00100CD6" w:rsidP="00100CD6">
      <w:pPr>
        <w:pStyle w:val="ListParagraph"/>
        <w:numPr>
          <w:ilvl w:val="1"/>
          <w:numId w:val="1"/>
        </w:numPr>
      </w:pPr>
      <w:proofErr w:type="spellStart"/>
      <w:r>
        <w:t>USSCt</w:t>
      </w:r>
      <w:proofErr w:type="spellEnd"/>
      <w:r>
        <w:t xml:space="preserve"> makes clear: McGee factors on their own cannot give rise to PJ (despite McGee factors’ strength in this case)</w:t>
      </w:r>
    </w:p>
    <w:p w14:paraId="798BA6FF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How do they apply?</w:t>
      </w:r>
    </w:p>
    <w:p w14:paraId="7D927E51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Burdensome for defendant to appear in OK (not really)</w:t>
      </w:r>
    </w:p>
    <w:p w14:paraId="7804E907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Burdensome for plaintiffs to return to NY (yes - still injured)</w:t>
      </w:r>
    </w:p>
    <w:p w14:paraId="6F6C9844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OK has interest in providing a forum for litigation about exploding car accidents in its borders</w:t>
      </w:r>
    </w:p>
    <w:p w14:paraId="341A6A1B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Usually product-liability actions apply law in state of purchase or place of harm</w:t>
      </w:r>
    </w:p>
    <w:p w14:paraId="74655BF5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So OK law would apply – another OK interest</w:t>
      </w:r>
    </w:p>
    <w:p w14:paraId="6F85B126" w14:textId="2446A7B1" w:rsidR="00100CD6" w:rsidRDefault="00100CD6" w:rsidP="00100CD6">
      <w:pPr>
        <w:pStyle w:val="ListParagraph"/>
        <w:numPr>
          <w:ilvl w:val="3"/>
          <w:numId w:val="1"/>
        </w:numPr>
      </w:pPr>
      <w:r>
        <w:t>Witnesses located in OK</w:t>
      </w:r>
      <w:r w:rsidR="001F6806">
        <w:t xml:space="preserve"> (or Germany)</w:t>
      </w:r>
    </w:p>
    <w:p w14:paraId="76E9F56A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t>How did Seaway intentionally reach out to OK?</w:t>
      </w:r>
    </w:p>
    <w:p w14:paraId="0878D208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Plaintiffs’ rationale - sold an automobile (made to travel; no exclusion on travel) that they knew could go to OK and got economic benefit from this fact</w:t>
      </w:r>
    </w:p>
    <w:p w14:paraId="1E1E2D63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 xml:space="preserve">But </w:t>
      </w:r>
      <w:proofErr w:type="spellStart"/>
      <w:r>
        <w:t>SCt</w:t>
      </w:r>
      <w:proofErr w:type="spellEnd"/>
      <w:r>
        <w:t xml:space="preserve"> holds too attenuated a relationship</w:t>
      </w:r>
    </w:p>
    <w:p w14:paraId="06BFF673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t xml:space="preserve">Compare: Ohio v. Wyandotte Chemicals (U.S. 1971) – pollutants dumped in </w:t>
      </w:r>
      <w:proofErr w:type="spellStart"/>
      <w:r>
        <w:t>Mich</w:t>
      </w:r>
      <w:proofErr w:type="spellEnd"/>
      <w:r>
        <w:t xml:space="preserve"> by D, but reached OH </w:t>
      </w:r>
    </w:p>
    <w:p w14:paraId="0D5E5832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Here there was PJ in OH</w:t>
      </w:r>
    </w:p>
    <w:p w14:paraId="776A3567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What is the difference? Why PJ in Wyandotte but not in WW VW?</w:t>
      </w:r>
    </w:p>
    <w:p w14:paraId="408F95F2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Question of how certain one is that the product would end up in the forum state?</w:t>
      </w:r>
    </w:p>
    <w:p w14:paraId="5F78438C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Problem with that theory – it would suggest that Seaway would be subject to PJ in NJ – it is certain that Seaway cars go to NJ</w:t>
      </w:r>
    </w:p>
    <w:p w14:paraId="23C43B83" w14:textId="0FD512F2" w:rsidR="00100CD6" w:rsidRDefault="00100CD6" w:rsidP="00100CD6">
      <w:pPr>
        <w:pStyle w:val="ListParagraph"/>
        <w:numPr>
          <w:ilvl w:val="3"/>
          <w:numId w:val="1"/>
        </w:numPr>
      </w:pPr>
      <w:r>
        <w:t xml:space="preserve">But </w:t>
      </w:r>
      <w:proofErr w:type="spellStart"/>
      <w:r>
        <w:t>SCt</w:t>
      </w:r>
      <w:proofErr w:type="spellEnd"/>
      <w:r>
        <w:t xml:space="preserve"> would still say that Seaway had not reached out to NJ</w:t>
      </w:r>
      <w:r w:rsidR="001F6806">
        <w:t xml:space="preserve"> just by knowing cars would go there</w:t>
      </w:r>
    </w:p>
    <w:p w14:paraId="3A2BC869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Question of natural process vs. human intervention?</w:t>
      </w:r>
    </w:p>
    <w:p w14:paraId="3CB44A59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lastRenderedPageBreak/>
        <w:t>plaintiffs drove to OK – if that is enough for PJ, then plaintiff controls PJ (which is supposed to be determined by defendant’s conduct NOT plaintiff)</w:t>
      </w:r>
    </w:p>
    <w:p w14:paraId="6B9508E1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t>WW VW is NOT a stream of commerce case (ex. of stream of commerce is buying and selling is way product got to forum state; not movement by buyer)</w:t>
      </w:r>
    </w:p>
    <w:p w14:paraId="4F8283B1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t>foreseeability that product would enter forum state is not the test – what it is relevant that D could foresee that as a result of its actions it would be subject to PJ and that was not satisfied in WW VW</w:t>
      </w:r>
    </w:p>
    <w:p w14:paraId="5D030320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Green: this is circular</w:t>
      </w:r>
    </w:p>
    <w:p w14:paraId="579BDD0F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>How can you use what is foreseeable as PJ to determine the principles of PJ?</w:t>
      </w:r>
    </w:p>
    <w:p w14:paraId="117C5AA6" w14:textId="77777777" w:rsidR="00100CD6" w:rsidRDefault="00100CD6" w:rsidP="00100CD6">
      <w:pPr>
        <w:pStyle w:val="ListParagraph"/>
        <w:numPr>
          <w:ilvl w:val="4"/>
          <w:numId w:val="1"/>
        </w:numPr>
      </w:pPr>
      <w:r>
        <w:t>Don’t you use the principles to determine what can be foreseen?</w:t>
      </w:r>
    </w:p>
    <w:p w14:paraId="6AAE4FBE" w14:textId="77777777" w:rsidR="00100CD6" w:rsidRDefault="00100CD6" w:rsidP="00100CD6">
      <w:pPr>
        <w:pStyle w:val="ListParagraph"/>
        <w:numPr>
          <w:ilvl w:val="3"/>
          <w:numId w:val="1"/>
        </w:numPr>
      </w:pPr>
      <w:r>
        <w:t xml:space="preserve">If the </w:t>
      </w:r>
      <w:proofErr w:type="spellStart"/>
      <w:r>
        <w:t>SCt</w:t>
      </w:r>
      <w:proofErr w:type="spellEnd"/>
      <w:r>
        <w:t xml:space="preserve"> had said that there was PJ in WW VW, after that companies would foresee PJ in OK whenever they sold a car in NY</w:t>
      </w:r>
    </w:p>
    <w:p w14:paraId="3C362A21" w14:textId="77777777" w:rsidR="00100CD6" w:rsidRDefault="00100CD6" w:rsidP="00100CD6">
      <w:pPr>
        <w:pStyle w:val="ListParagraph"/>
        <w:ind w:left="2880"/>
      </w:pPr>
    </w:p>
    <w:p w14:paraId="04FB025E" w14:textId="77777777" w:rsidR="00100CD6" w:rsidRDefault="00100CD6" w:rsidP="00100CD6">
      <w:pPr>
        <w:pStyle w:val="ListParagraph"/>
        <w:numPr>
          <w:ilvl w:val="1"/>
          <w:numId w:val="1"/>
        </w:numPr>
      </w:pPr>
      <w:r>
        <w:t>Brennan’s dissent – basically McGee factors on their own should be used</w:t>
      </w:r>
      <w:r>
        <w:br/>
      </w:r>
    </w:p>
    <w:p w14:paraId="2C96837A" w14:textId="77777777" w:rsidR="00100CD6" w:rsidRDefault="00100CD6" w:rsidP="00100CD6">
      <w:pPr>
        <w:pStyle w:val="ListParagraph"/>
        <w:numPr>
          <w:ilvl w:val="0"/>
          <w:numId w:val="1"/>
        </w:numPr>
      </w:pPr>
      <w:r>
        <w:t>Intentional torts</w:t>
      </w:r>
    </w:p>
    <w:p w14:paraId="253EA30F" w14:textId="77777777" w:rsidR="00100CD6" w:rsidRDefault="00100CD6" w:rsidP="00100CD6">
      <w:pPr>
        <w:pStyle w:val="ListParagraph"/>
        <w:numPr>
          <w:ilvl w:val="1"/>
          <w:numId w:val="1"/>
        </w:numPr>
      </w:pPr>
      <w:r w:rsidRPr="00FF0FAF">
        <w:rPr>
          <w:i/>
        </w:rPr>
        <w:t>Keeton v. Hustler Magazine</w:t>
      </w:r>
      <w:r>
        <w:t xml:space="preserve"> (US 1984) (p201)</w:t>
      </w:r>
    </w:p>
    <w:p w14:paraId="6F0231B7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Easy case</w:t>
      </w:r>
    </w:p>
    <w:p w14:paraId="423A2D52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PJ in NH for defamation action against Magazine that had thousands of sales monthly in NH</w:t>
      </w:r>
    </w:p>
    <w:p w14:paraId="33568A0F" w14:textId="77777777" w:rsidR="00100CD6" w:rsidRDefault="00100CD6" w:rsidP="00100CD6">
      <w:pPr>
        <w:pStyle w:val="ListParagraph"/>
        <w:numPr>
          <w:ilvl w:val="1"/>
          <w:numId w:val="1"/>
        </w:numPr>
      </w:pPr>
      <w:r w:rsidRPr="00FF0FAF">
        <w:rPr>
          <w:i/>
        </w:rPr>
        <w:t>Calder v. Jones</w:t>
      </w:r>
      <w:r>
        <w:t xml:space="preserve"> (US 1984) (p202)</w:t>
      </w:r>
    </w:p>
    <w:p w14:paraId="19FB3658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Found PJ over FL writer/editor for plaintiff’s defamation action in CA state court</w:t>
      </w:r>
    </w:p>
    <w:p w14:paraId="5560A017" w14:textId="77777777" w:rsidR="00100CD6" w:rsidRDefault="00100CD6" w:rsidP="00100CD6">
      <w:pPr>
        <w:pStyle w:val="ListParagraph"/>
        <w:numPr>
          <w:ilvl w:val="2"/>
          <w:numId w:val="1"/>
        </w:numPr>
      </w:pPr>
      <w:r>
        <w:t>How did the Ds reach out to CA – they did not control where their employer sent the newspaper</w:t>
      </w:r>
    </w:p>
    <w:p w14:paraId="76EA6F30" w14:textId="32CEF10A" w:rsidR="00100CD6" w:rsidRPr="000104E3" w:rsidRDefault="00100CD6" w:rsidP="00100CD6">
      <w:pPr>
        <w:pStyle w:val="ListParagraph"/>
        <w:numPr>
          <w:ilvl w:val="2"/>
          <w:numId w:val="1"/>
        </w:numPr>
      </w:pPr>
      <w:r>
        <w:t xml:space="preserve">Choosing to write about CA resident concerning events in CA (sources in CA, etc.); distinguishing factor from </w:t>
      </w:r>
      <w:r w:rsidRPr="00FF0FAF">
        <w:rPr>
          <w:i/>
        </w:rPr>
        <w:t>Walden</w:t>
      </w:r>
    </w:p>
    <w:p w14:paraId="4801E3ED" w14:textId="1E55B6D6" w:rsidR="000104E3" w:rsidRDefault="000104E3" w:rsidP="00100CD6">
      <w:pPr>
        <w:pStyle w:val="ListParagraph"/>
        <w:numPr>
          <w:ilvl w:val="2"/>
          <w:numId w:val="1"/>
        </w:numPr>
      </w:pPr>
      <w:r>
        <w:t xml:space="preserve">also want the </w:t>
      </w:r>
      <w:r w:rsidR="00394DFF">
        <w:t xml:space="preserve">matter to be disseminated, </w:t>
      </w:r>
      <w:proofErr w:type="spellStart"/>
      <w:r w:rsidR="00394DFF">
        <w:t>incl</w:t>
      </w:r>
      <w:proofErr w:type="spellEnd"/>
      <w:r w:rsidR="00394DFF">
        <w:t xml:space="preserve"> in CA</w:t>
      </w:r>
    </w:p>
    <w:p w14:paraId="1AB886AA" w14:textId="77777777" w:rsidR="00100CD6" w:rsidRDefault="00100CD6" w:rsidP="00100CD6">
      <w:pPr>
        <w:pStyle w:val="ListParagraph"/>
        <w:numPr>
          <w:ilvl w:val="1"/>
          <w:numId w:val="1"/>
        </w:numPr>
      </w:pPr>
      <w:r w:rsidRPr="00FF0FAF">
        <w:rPr>
          <w:i/>
        </w:rPr>
        <w:t>Walden v. Fiore</w:t>
      </w:r>
      <w:r>
        <w:t>, 134 S. Ct. 1115 (2014) (p203)</w:t>
      </w:r>
    </w:p>
    <w:p w14:paraId="3412F5E9" w14:textId="0047FC24" w:rsidR="00100CD6" w:rsidRDefault="00100CD6" w:rsidP="00100CD6">
      <w:pPr>
        <w:pStyle w:val="ListParagraph"/>
        <w:numPr>
          <w:ilvl w:val="2"/>
          <w:numId w:val="1"/>
        </w:numPr>
      </w:pPr>
      <w:r>
        <w:t>In GA, agent</w:t>
      </w:r>
      <w:r w:rsidR="00394DFF">
        <w:t xml:space="preserve"> takes money from NV defendant and writes false affidavit - </w:t>
      </w:r>
      <w:r>
        <w:t xml:space="preserve"> knows they are from NV so knows that his actions will cause harm to them there, but no PJ in NV</w:t>
      </w:r>
    </w:p>
    <w:p w14:paraId="0CF025F5" w14:textId="77777777" w:rsidR="00E35B05" w:rsidRDefault="00E35B05">
      <w:bookmarkStart w:id="0" w:name="_GoBack"/>
      <w:bookmarkEnd w:id="0"/>
    </w:p>
    <w:sectPr w:rsidR="00E35B05" w:rsidSect="00FB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31086"/>
    <w:multiLevelType w:val="hybridMultilevel"/>
    <w:tmpl w:val="4DD6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D6"/>
    <w:rsid w:val="000104E3"/>
    <w:rsid w:val="00100CD6"/>
    <w:rsid w:val="001F6806"/>
    <w:rsid w:val="00394DFF"/>
    <w:rsid w:val="00646C44"/>
    <w:rsid w:val="00917B46"/>
    <w:rsid w:val="00AD559E"/>
    <w:rsid w:val="00E35B05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E081"/>
  <w15:chartTrackingRefBased/>
  <w15:docId w15:val="{B55CB26D-F62E-4C4A-B643-F20CDE33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CD6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Michael S</dc:creator>
  <cp:keywords/>
  <dc:description/>
  <cp:lastModifiedBy>Green, Michael S</cp:lastModifiedBy>
  <cp:revision>2</cp:revision>
  <dcterms:created xsi:type="dcterms:W3CDTF">2019-09-17T14:56:00Z</dcterms:created>
  <dcterms:modified xsi:type="dcterms:W3CDTF">2019-09-17T14:56:00Z</dcterms:modified>
</cp:coreProperties>
</file>