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ADDE" w14:textId="77777777" w:rsidR="003E13D7" w:rsidRDefault="003E13D7" w:rsidP="003E13D7">
      <w:pPr>
        <w:ind w:left="2880"/>
      </w:pPr>
      <w:bookmarkStart w:id="0" w:name="_GoBack"/>
      <w:bookmarkEnd w:id="0"/>
    </w:p>
    <w:p w14:paraId="40811F59" w14:textId="77777777" w:rsidR="003E13D7" w:rsidRDefault="003E13D7" w:rsidP="003E13D7">
      <w:pPr>
        <w:numPr>
          <w:ilvl w:val="0"/>
          <w:numId w:val="5"/>
        </w:numPr>
      </w:pPr>
      <w:r>
        <w:t>Schultz v Boy Scouts</w:t>
      </w:r>
    </w:p>
    <w:p w14:paraId="349C835B" w14:textId="77777777" w:rsidR="003E13D7" w:rsidRDefault="003E13D7" w:rsidP="003E13D7">
      <w:pPr>
        <w:numPr>
          <w:ilvl w:val="1"/>
          <w:numId w:val="5"/>
        </w:numPr>
      </w:pPr>
      <w:r>
        <w:t xml:space="preserve">Ps domiciled in NJ </w:t>
      </w:r>
    </w:p>
    <w:p w14:paraId="736814B8" w14:textId="77777777" w:rsidR="003E13D7" w:rsidRDefault="003E13D7" w:rsidP="003E13D7">
      <w:pPr>
        <w:numPr>
          <w:ilvl w:val="2"/>
          <w:numId w:val="5"/>
        </w:numPr>
      </w:pPr>
      <w:r>
        <w:t>(parent) and two boys (one who committed suicide)</w:t>
      </w:r>
    </w:p>
    <w:p w14:paraId="7AEFCECD" w14:textId="77777777" w:rsidR="003E13D7" w:rsidRDefault="003E13D7" w:rsidP="003E13D7">
      <w:pPr>
        <w:numPr>
          <w:ilvl w:val="2"/>
          <w:numId w:val="5"/>
        </w:numPr>
      </w:pPr>
      <w:r>
        <w:t>Molested by Franciscan brother who was also scoutmaster</w:t>
      </w:r>
    </w:p>
    <w:p w14:paraId="5CDD8755" w14:textId="77777777" w:rsidR="003E13D7" w:rsidRDefault="003E13D7" w:rsidP="003E13D7">
      <w:pPr>
        <w:numPr>
          <w:ilvl w:val="1"/>
          <w:numId w:val="5"/>
        </w:numPr>
      </w:pPr>
      <w:r>
        <w:t>Suing Ds in NY</w:t>
      </w:r>
    </w:p>
    <w:p w14:paraId="399DA145" w14:textId="77777777" w:rsidR="003E13D7" w:rsidRDefault="003E13D7" w:rsidP="003E13D7">
      <w:pPr>
        <w:numPr>
          <w:ilvl w:val="2"/>
          <w:numId w:val="5"/>
        </w:numPr>
      </w:pPr>
      <w:r>
        <w:t>Boy Scouts</w:t>
      </w:r>
    </w:p>
    <w:p w14:paraId="6F40A24A" w14:textId="77777777" w:rsidR="003E13D7" w:rsidRDefault="003E13D7" w:rsidP="003E13D7">
      <w:pPr>
        <w:numPr>
          <w:ilvl w:val="3"/>
          <w:numId w:val="5"/>
        </w:numPr>
      </w:pPr>
      <w:r>
        <w:t>NJ domicile at time</w:t>
      </w:r>
    </w:p>
    <w:p w14:paraId="1D9EE300" w14:textId="77777777" w:rsidR="003E13D7" w:rsidRDefault="003E13D7" w:rsidP="003E13D7">
      <w:pPr>
        <w:numPr>
          <w:ilvl w:val="3"/>
          <w:numId w:val="5"/>
        </w:numPr>
      </w:pPr>
      <w:r>
        <w:t>now Texas</w:t>
      </w:r>
    </w:p>
    <w:p w14:paraId="7377430D" w14:textId="77777777" w:rsidR="003E13D7" w:rsidRDefault="003E13D7" w:rsidP="003E13D7">
      <w:pPr>
        <w:numPr>
          <w:ilvl w:val="2"/>
          <w:numId w:val="5"/>
        </w:numPr>
      </w:pPr>
      <w:r>
        <w:t>and Franciscans</w:t>
      </w:r>
    </w:p>
    <w:p w14:paraId="41543193" w14:textId="77777777" w:rsidR="003E13D7" w:rsidRDefault="003E13D7" w:rsidP="003E13D7">
      <w:pPr>
        <w:numPr>
          <w:ilvl w:val="3"/>
          <w:numId w:val="5"/>
        </w:numPr>
      </w:pPr>
      <w:r>
        <w:t>Ohio domicile</w:t>
      </w:r>
    </w:p>
    <w:p w14:paraId="55FEA4F3" w14:textId="77777777" w:rsidR="003E13D7" w:rsidRDefault="003E13D7" w:rsidP="003E13D7">
      <w:pPr>
        <w:numPr>
          <w:ilvl w:val="2"/>
          <w:numId w:val="5"/>
        </w:numPr>
      </w:pPr>
      <w:r>
        <w:t>Molestation in NY</w:t>
      </w:r>
    </w:p>
    <w:p w14:paraId="250AE23C" w14:textId="77777777" w:rsidR="003E13D7" w:rsidRDefault="003E13D7" w:rsidP="003E13D7">
      <w:pPr>
        <w:numPr>
          <w:ilvl w:val="2"/>
          <w:numId w:val="5"/>
        </w:numPr>
      </w:pPr>
      <w:r>
        <w:t>And afterward in NJ</w:t>
      </w:r>
    </w:p>
    <w:p w14:paraId="2D95D71D" w14:textId="77777777" w:rsidR="003E13D7" w:rsidRDefault="003E13D7" w:rsidP="003E13D7">
      <w:pPr>
        <w:numPr>
          <w:ilvl w:val="1"/>
          <w:numId w:val="5"/>
        </w:numPr>
      </w:pPr>
      <w:r>
        <w:t>NJ has charitable immunity</w:t>
      </w:r>
    </w:p>
    <w:p w14:paraId="686A39AA" w14:textId="77777777" w:rsidR="003E13D7" w:rsidRDefault="003E13D7" w:rsidP="003E13D7">
      <w:pPr>
        <w:numPr>
          <w:ilvl w:val="1"/>
          <w:numId w:val="5"/>
        </w:numPr>
      </w:pPr>
      <w:r>
        <w:t>Tex, NY do not</w:t>
      </w:r>
    </w:p>
    <w:p w14:paraId="4E332F8F" w14:textId="77777777" w:rsidR="003E13D7" w:rsidRDefault="003E13D7" w:rsidP="003E13D7">
      <w:pPr>
        <w:numPr>
          <w:ilvl w:val="1"/>
          <w:numId w:val="5"/>
        </w:numPr>
      </w:pPr>
      <w:r>
        <w:t>Ohio does not in this case (</w:t>
      </w:r>
      <w:proofErr w:type="spellStart"/>
      <w:r>
        <w:t>negl</w:t>
      </w:r>
      <w:proofErr w:type="spellEnd"/>
      <w:r>
        <w:t xml:space="preserve"> hiring)</w:t>
      </w:r>
    </w:p>
    <w:p w14:paraId="1CB46402" w14:textId="77777777" w:rsidR="003E13D7" w:rsidRDefault="003E13D7" w:rsidP="003E13D7">
      <w:pPr>
        <w:numPr>
          <w:ilvl w:val="1"/>
          <w:numId w:val="5"/>
        </w:numPr>
      </w:pPr>
      <w:r>
        <w:t>Does charitable immunity apply?</w:t>
      </w:r>
    </w:p>
    <w:p w14:paraId="4F6D5926" w14:textId="77777777" w:rsidR="003E13D7" w:rsidRDefault="003E13D7" w:rsidP="003E13D7">
      <w:pPr>
        <w:numPr>
          <w:ilvl w:val="1"/>
          <w:numId w:val="5"/>
        </w:numPr>
      </w:pPr>
      <w:r>
        <w:t>Start with Boy Scouts</w:t>
      </w:r>
    </w:p>
    <w:p w14:paraId="3101D807" w14:textId="77777777" w:rsidR="003E13D7" w:rsidRDefault="003E13D7" w:rsidP="003E13D7">
      <w:pPr>
        <w:numPr>
          <w:ilvl w:val="1"/>
          <w:numId w:val="5"/>
        </w:numPr>
      </w:pPr>
      <w:r>
        <w:t>Ct draws distinction between conduct regulating and loss allocating rules</w:t>
      </w:r>
    </w:p>
    <w:p w14:paraId="2EC95A7D" w14:textId="77777777" w:rsidR="003E13D7" w:rsidRDefault="003E13D7" w:rsidP="003E13D7">
      <w:pPr>
        <w:numPr>
          <w:ilvl w:val="2"/>
          <w:numId w:val="5"/>
        </w:numPr>
      </w:pPr>
      <w:r>
        <w:t xml:space="preserve">Conduct </w:t>
      </w:r>
      <w:proofErr w:type="spellStart"/>
      <w:r>
        <w:t>reg</w:t>
      </w:r>
      <w:proofErr w:type="spellEnd"/>
      <w:r>
        <w:t xml:space="preserve"> – place of wrongdoing (harm or wrongful conduct)</w:t>
      </w:r>
    </w:p>
    <w:p w14:paraId="7DA12DFF" w14:textId="77777777" w:rsidR="003E13D7" w:rsidRDefault="003E13D7" w:rsidP="003E13D7">
      <w:pPr>
        <w:numPr>
          <w:ilvl w:val="2"/>
          <w:numId w:val="5"/>
        </w:numPr>
      </w:pPr>
      <w:r>
        <w:t>Loss allocating – domicile of parties (</w:t>
      </w:r>
      <w:proofErr w:type="spellStart"/>
      <w:r>
        <w:t>esp</w:t>
      </w:r>
      <w:proofErr w:type="spellEnd"/>
      <w:r>
        <w:t xml:space="preserve"> if they have a common domicile)</w:t>
      </w:r>
    </w:p>
    <w:p w14:paraId="2B6E7F82" w14:textId="77777777" w:rsidR="003E13D7" w:rsidRDefault="003E13D7" w:rsidP="003E13D7">
      <w:pPr>
        <w:numPr>
          <w:ilvl w:val="2"/>
          <w:numId w:val="5"/>
        </w:numPr>
      </w:pPr>
      <w:r>
        <w:t>Example of Conduct regulating?</w:t>
      </w:r>
    </w:p>
    <w:p w14:paraId="491E590C" w14:textId="77777777" w:rsidR="003E13D7" w:rsidRDefault="003E13D7" w:rsidP="003E13D7">
      <w:pPr>
        <w:numPr>
          <w:ilvl w:val="3"/>
          <w:numId w:val="5"/>
        </w:numPr>
      </w:pPr>
      <w:r>
        <w:t>standard of care</w:t>
      </w:r>
    </w:p>
    <w:p w14:paraId="2C4AEB64" w14:textId="77777777" w:rsidR="003E13D7" w:rsidRDefault="003E13D7" w:rsidP="003E13D7">
      <w:pPr>
        <w:numPr>
          <w:ilvl w:val="2"/>
          <w:numId w:val="5"/>
        </w:numPr>
      </w:pPr>
      <w:r>
        <w:t xml:space="preserve">Why is charitable </w:t>
      </w:r>
      <w:proofErr w:type="spellStart"/>
      <w:r>
        <w:t>imm</w:t>
      </w:r>
      <w:proofErr w:type="spellEnd"/>
      <w:r>
        <w:t xml:space="preserve"> loss allocating?</w:t>
      </w:r>
    </w:p>
    <w:p w14:paraId="5135207C" w14:textId="77777777" w:rsidR="003E13D7" w:rsidRDefault="003E13D7" w:rsidP="003E13D7">
      <w:pPr>
        <w:numPr>
          <w:ilvl w:val="3"/>
          <w:numId w:val="5"/>
        </w:numPr>
      </w:pPr>
      <w:r>
        <w:t>not saying charities should get away with negligent hiring</w:t>
      </w:r>
    </w:p>
    <w:p w14:paraId="7E2C27FC" w14:textId="77777777" w:rsidR="003E13D7" w:rsidRDefault="003E13D7" w:rsidP="003E13D7">
      <w:pPr>
        <w:numPr>
          <w:ilvl w:val="3"/>
          <w:numId w:val="5"/>
        </w:numPr>
      </w:pPr>
      <w:r>
        <w:t>post-event remedial rule about allocating loss</w:t>
      </w:r>
    </w:p>
    <w:p w14:paraId="7F06E0CF" w14:textId="77777777" w:rsidR="003E13D7" w:rsidRDefault="003E13D7" w:rsidP="003E13D7">
      <w:pPr>
        <w:numPr>
          <w:ilvl w:val="3"/>
          <w:numId w:val="5"/>
        </w:numPr>
      </w:pPr>
      <w:r>
        <w:t xml:space="preserve">what is purpose of char </w:t>
      </w:r>
      <w:proofErr w:type="spellStart"/>
      <w:r>
        <w:t>imm</w:t>
      </w:r>
      <w:proofErr w:type="spellEnd"/>
      <w:r>
        <w:t>?</w:t>
      </w:r>
    </w:p>
    <w:p w14:paraId="45EB658D" w14:textId="77777777" w:rsidR="003E13D7" w:rsidRDefault="003E13D7" w:rsidP="003E13D7">
      <w:pPr>
        <w:numPr>
          <w:ilvl w:val="4"/>
          <w:numId w:val="5"/>
        </w:numPr>
      </w:pPr>
      <w:r>
        <w:t>not related to activities at all?</w:t>
      </w:r>
    </w:p>
    <w:p w14:paraId="72A3B1E7" w14:textId="77777777" w:rsidR="003E13D7" w:rsidRDefault="003E13D7" w:rsidP="003E13D7">
      <w:pPr>
        <w:numPr>
          <w:ilvl w:val="4"/>
          <w:numId w:val="5"/>
        </w:numPr>
      </w:pPr>
      <w:r>
        <w:t>really about encouraging charities in state?</w:t>
      </w:r>
    </w:p>
    <w:p w14:paraId="0CECE966" w14:textId="77777777" w:rsidR="003E13D7" w:rsidRDefault="003E13D7" w:rsidP="003E13D7">
      <w:pPr>
        <w:numPr>
          <w:ilvl w:val="3"/>
          <w:numId w:val="5"/>
        </w:numPr>
      </w:pPr>
      <w:r>
        <w:t>If so, is the domicile of parties relevant?</w:t>
      </w:r>
    </w:p>
    <w:p w14:paraId="77C2B8E8" w14:textId="77777777" w:rsidR="003E13D7" w:rsidRDefault="003E13D7" w:rsidP="003E13D7">
      <w:pPr>
        <w:numPr>
          <w:ilvl w:val="5"/>
          <w:numId w:val="5"/>
        </w:numPr>
      </w:pPr>
      <w:r w:rsidRPr="00643114">
        <w:t>- assume the Schultz’s are domiciled in NY</w:t>
      </w:r>
      <w:r w:rsidRPr="00643114">
        <w:br/>
        <w:t>- the Boy Scouts are domiciled in TX</w:t>
      </w:r>
      <w:r w:rsidRPr="00643114">
        <w:br/>
        <w:t>- but the scout camp is always in NJ, where the molestation occurs</w:t>
      </w:r>
    </w:p>
    <w:p w14:paraId="043C87BB" w14:textId="77777777" w:rsidR="003E13D7" w:rsidRDefault="003E13D7" w:rsidP="003E13D7">
      <w:pPr>
        <w:numPr>
          <w:ilvl w:val="5"/>
          <w:numId w:val="5"/>
        </w:numPr>
      </w:pPr>
      <w:r>
        <w:t>No NJ interest?</w:t>
      </w:r>
    </w:p>
    <w:p w14:paraId="212FD6B2" w14:textId="77777777" w:rsidR="003E13D7" w:rsidRDefault="003E13D7" w:rsidP="003E13D7">
      <w:pPr>
        <w:numPr>
          <w:ilvl w:val="5"/>
          <w:numId w:val="5"/>
        </w:numPr>
      </w:pPr>
      <w:r>
        <w:t>NJ interest still applies because charitable activities there?</w:t>
      </w:r>
    </w:p>
    <w:p w14:paraId="434C2243" w14:textId="77777777" w:rsidR="003E13D7" w:rsidRDefault="003E13D7" w:rsidP="003E13D7">
      <w:pPr>
        <w:numPr>
          <w:ilvl w:val="4"/>
          <w:numId w:val="5"/>
        </w:numPr>
      </w:pPr>
      <w:r>
        <w:t>notice not really about domicile of parties</w:t>
      </w:r>
    </w:p>
    <w:p w14:paraId="5ACB35A3" w14:textId="77777777" w:rsidR="003E13D7" w:rsidRDefault="003E13D7" w:rsidP="003E13D7">
      <w:pPr>
        <w:numPr>
          <w:ilvl w:val="4"/>
          <w:numId w:val="5"/>
        </w:numPr>
      </w:pPr>
      <w:r>
        <w:t>but instead fact that tort arose out of NJ charity activities</w:t>
      </w:r>
    </w:p>
    <w:p w14:paraId="40D58B20" w14:textId="77777777" w:rsidR="003E13D7" w:rsidRDefault="003E13D7" w:rsidP="003E13D7">
      <w:pPr>
        <w:numPr>
          <w:ilvl w:val="3"/>
          <w:numId w:val="5"/>
        </w:numPr>
      </w:pPr>
      <w:r>
        <w:t xml:space="preserve">what is relevant charity toward </w:t>
      </w:r>
      <w:proofErr w:type="spellStart"/>
      <w:r>
        <w:t>NJersians</w:t>
      </w:r>
      <w:proofErr w:type="spellEnd"/>
      <w:r>
        <w:t xml:space="preserve">, so what is relevant is whether the recipients of the charity in connection with the activity are largely </w:t>
      </w:r>
      <w:proofErr w:type="spellStart"/>
      <w:r>
        <w:t>NJersians</w:t>
      </w:r>
      <w:proofErr w:type="spellEnd"/>
      <w:r>
        <w:t>?</w:t>
      </w:r>
    </w:p>
    <w:p w14:paraId="5B472D74" w14:textId="77777777" w:rsidR="003E13D7" w:rsidRDefault="003E13D7" w:rsidP="003E13D7">
      <w:pPr>
        <w:pStyle w:val="ListParagraph"/>
      </w:pPr>
    </w:p>
    <w:p w14:paraId="54A7AB62" w14:textId="77777777" w:rsidR="000C41C4" w:rsidRDefault="00657748" w:rsidP="00063CB2">
      <w:r w:rsidRPr="005960C9">
        <w:tab/>
      </w:r>
      <w:r w:rsidR="00063CB2">
        <w:t>What are reasons for NY law to apply?</w:t>
      </w:r>
    </w:p>
    <w:p w14:paraId="3F66AC30" w14:textId="77777777" w:rsidR="00063CB2" w:rsidRPr="005960C9" w:rsidRDefault="00063CB2" w:rsidP="00063CB2"/>
    <w:p w14:paraId="60E88241" w14:textId="77777777" w:rsidR="000C41C4" w:rsidRPr="005960C9" w:rsidRDefault="001D6DBF">
      <w:r>
        <w:t>Here, the opinion</w:t>
      </w:r>
      <w:r w:rsidR="000C41C4" w:rsidRPr="005960C9">
        <w:t xml:space="preserve"> gets weird.</w:t>
      </w:r>
    </w:p>
    <w:p w14:paraId="52D9E921" w14:textId="77777777" w:rsidR="001A0DC9" w:rsidRPr="005960C9" w:rsidRDefault="000C41C4" w:rsidP="000C41C4">
      <w:pPr>
        <w:numPr>
          <w:ilvl w:val="0"/>
          <w:numId w:val="2"/>
        </w:numPr>
      </w:pPr>
      <w:r w:rsidRPr="005960C9">
        <w:lastRenderedPageBreak/>
        <w:t>“</w:t>
      </w:r>
      <w:r w:rsidR="004C080A" w:rsidRPr="005960C9">
        <w:t>The three reasons most often urged in support of applying the law of the forum-locus in cases such as this are: (1) to protect medical creditors who provided services to injured parties in the locus State, (2) to prevent injured tort victims from becoming public wards in the locus State and (3) the deterrent effect application of locus law has on future tort-</w:t>
      </w:r>
      <w:proofErr w:type="spellStart"/>
      <w:r w:rsidR="004C080A" w:rsidRPr="005960C9">
        <w:t>feasors</w:t>
      </w:r>
      <w:proofErr w:type="spellEnd"/>
      <w:r w:rsidR="004C080A" w:rsidRPr="005960C9">
        <w:t xml:space="preserve"> in the locus State.</w:t>
      </w:r>
      <w:r w:rsidR="00247903" w:rsidRPr="005960C9">
        <w:t>”</w:t>
      </w:r>
      <w:r w:rsidR="004C080A" w:rsidRPr="005960C9">
        <w:t xml:space="preserve"> </w:t>
      </w:r>
    </w:p>
    <w:p w14:paraId="0CD177F3" w14:textId="77777777" w:rsidR="000C41C4" w:rsidRPr="005960C9" w:rsidRDefault="000C41C4"/>
    <w:p w14:paraId="5AF35A66" w14:textId="77777777" w:rsidR="00247903" w:rsidRDefault="00C10C0C">
      <w:r w:rsidRPr="005960C9">
        <w:t>They c</w:t>
      </w:r>
      <w:r w:rsidR="00A20BE3">
        <w:t xml:space="preserve">an’t argue for compensation, </w:t>
      </w:r>
      <w:proofErr w:type="spellStart"/>
      <w:r w:rsidR="00A20BE3">
        <w:t>bc</w:t>
      </w:r>
      <w:proofErr w:type="spellEnd"/>
      <w:r w:rsidRPr="005960C9">
        <w:t xml:space="preserve"> not </w:t>
      </w:r>
      <w:proofErr w:type="spellStart"/>
      <w:proofErr w:type="gramStart"/>
      <w:r w:rsidRPr="005960C9">
        <w:t>NYers</w:t>
      </w:r>
      <w:proofErr w:type="spellEnd"/>
      <w:r w:rsidRPr="005960C9">
        <w:t>..</w:t>
      </w:r>
      <w:proofErr w:type="gramEnd"/>
      <w:r w:rsidRPr="005960C9">
        <w:t xml:space="preserve"> options 1 and 2 are sort of bizarre, 3 is a real one.</w:t>
      </w:r>
      <w:r w:rsidR="00063CB2">
        <w:t>’</w:t>
      </w:r>
    </w:p>
    <w:p w14:paraId="44DFF2F1" w14:textId="77777777" w:rsidR="00063CB2" w:rsidRDefault="00063CB2"/>
    <w:p w14:paraId="5E77D301" w14:textId="77777777" w:rsidR="00063CB2" w:rsidRDefault="00063CB2" w:rsidP="00063CB2">
      <w:pPr>
        <w:numPr>
          <w:ilvl w:val="0"/>
          <w:numId w:val="6"/>
        </w:numPr>
      </w:pPr>
      <w:r>
        <w:t xml:space="preserve">claims that these first two interests are suspect anyway </w:t>
      </w:r>
      <w:proofErr w:type="spellStart"/>
      <w:r>
        <w:t>bc</w:t>
      </w:r>
      <w:proofErr w:type="spellEnd"/>
      <w:r>
        <w:t xml:space="preserve"> they mandate the application of the law justifying greater recovery, whether or not NY law</w:t>
      </w:r>
    </w:p>
    <w:p w14:paraId="35E6A3D5" w14:textId="77777777" w:rsidR="00063CB2" w:rsidRPr="003C41A5" w:rsidRDefault="00063CB2" w:rsidP="00063CB2">
      <w:pPr>
        <w:numPr>
          <w:ilvl w:val="0"/>
          <w:numId w:val="6"/>
        </w:numPr>
        <w:rPr>
          <w:i/>
        </w:rPr>
      </w:pPr>
      <w:r w:rsidRPr="003C41A5">
        <w:rPr>
          <w:i/>
        </w:rPr>
        <w:t xml:space="preserve">The first two reasons share common weaknesses. First, in the abstract, neither reason necessarily requires application of the locus jurisdiction's law, but rather invariably mandates application of the law of the jurisdiction that would either allow recovery or allow the greater recovery. They are subject to criticism, therefore, as being biased in favor of recovery. </w:t>
      </w:r>
    </w:p>
    <w:p w14:paraId="6C27ED61" w14:textId="77777777" w:rsidR="00063CB2" w:rsidRDefault="00063CB2" w:rsidP="00063CB2"/>
    <w:p w14:paraId="52CA9B9F" w14:textId="77777777" w:rsidR="00063CB2" w:rsidRDefault="00063CB2" w:rsidP="00063CB2">
      <w:r>
        <w:t>This is a mistake</w:t>
      </w:r>
    </w:p>
    <w:p w14:paraId="41C1067E" w14:textId="77777777" w:rsidR="00C10C0C" w:rsidRPr="005960C9" w:rsidRDefault="00C10C0C" w:rsidP="00063CB2">
      <w:r w:rsidRPr="005960C9">
        <w:tab/>
      </w:r>
    </w:p>
    <w:p w14:paraId="2522E08C" w14:textId="77777777" w:rsidR="00C10C0C" w:rsidRPr="005960C9" w:rsidRDefault="00C10C0C">
      <w:r w:rsidRPr="005960C9">
        <w:tab/>
        <w:t>In interest analysis you are trying to figure out scope of a state’s law by looking to purposes of that law… for that state…</w:t>
      </w:r>
    </w:p>
    <w:p w14:paraId="460D2D5B" w14:textId="77777777" w:rsidR="00C10C0C" w:rsidRDefault="00C10C0C">
      <w:pPr>
        <w:rPr>
          <w:b/>
        </w:rPr>
      </w:pPr>
      <w:r w:rsidRPr="005960C9">
        <w:rPr>
          <w:b/>
        </w:rPr>
        <w:tab/>
        <w:t>So only look at NY interests, it is incoherent to apply NY interests to other state’s laws</w:t>
      </w:r>
    </w:p>
    <w:p w14:paraId="0291D561" w14:textId="77777777" w:rsidR="00063CB2" w:rsidRDefault="00063CB2">
      <w:pPr>
        <w:rPr>
          <w:b/>
        </w:rPr>
      </w:pPr>
    </w:p>
    <w:p w14:paraId="2FB38B22" w14:textId="77777777" w:rsidR="00063CB2" w:rsidRPr="005960C9" w:rsidRDefault="00063CB2">
      <w:pPr>
        <w:rPr>
          <w:b/>
        </w:rPr>
      </w:pPr>
    </w:p>
    <w:p w14:paraId="15ED673B" w14:textId="77777777" w:rsidR="00C10C0C" w:rsidRPr="005960C9" w:rsidRDefault="00C10C0C"/>
    <w:p w14:paraId="4F9DFEAD" w14:textId="77777777" w:rsidR="00C10C0C" w:rsidRPr="005960C9" w:rsidRDefault="00C10C0C">
      <w:r w:rsidRPr="005960C9">
        <w:t xml:space="preserve">BUT – </w:t>
      </w:r>
      <w:r w:rsidR="00063CB2">
        <w:t>Green</w:t>
      </w:r>
      <w:r w:rsidRPr="005960C9">
        <w:t xml:space="preserve"> said earlier in Babcock that Ontario wa</w:t>
      </w:r>
      <w:r w:rsidR="006A27F0">
        <w:t xml:space="preserve">s interested in NY law applying because </w:t>
      </w:r>
      <w:proofErr w:type="spellStart"/>
      <w:r w:rsidR="006A27F0">
        <w:t>ontarioans</w:t>
      </w:r>
      <w:proofErr w:type="spellEnd"/>
      <w:r w:rsidRPr="005960C9">
        <w:t xml:space="preserve"> got hurt in Ontario.</w:t>
      </w:r>
    </w:p>
    <w:p w14:paraId="7B400E2F" w14:textId="77777777" w:rsidR="00C10C0C" w:rsidRPr="005960C9" w:rsidRDefault="00C10C0C">
      <w:r w:rsidRPr="005960C9">
        <w:tab/>
        <w:t xml:space="preserve">Ontario isn’t interested in </w:t>
      </w:r>
      <w:r w:rsidR="006A27F0">
        <w:t xml:space="preserve">its guest statutes applying, </w:t>
      </w:r>
      <w:proofErr w:type="spellStart"/>
      <w:r w:rsidR="006A27F0">
        <w:t>bc</w:t>
      </w:r>
      <w:proofErr w:type="spellEnd"/>
      <w:r w:rsidRPr="005960C9">
        <w:t xml:space="preserve"> fraud will be felt in NY</w:t>
      </w:r>
    </w:p>
    <w:p w14:paraId="636D0B05" w14:textId="77777777" w:rsidR="00C10C0C" w:rsidRPr="005960C9" w:rsidRDefault="00C10C0C">
      <w:r w:rsidRPr="005960C9">
        <w:tab/>
      </w:r>
      <w:r w:rsidRPr="005960C9">
        <w:tab/>
        <w:t>Ontario really wanted normal tort law applying for reasons of deterrence</w:t>
      </w:r>
    </w:p>
    <w:p w14:paraId="694CB906" w14:textId="77777777" w:rsidR="00C10C0C" w:rsidRPr="005960C9" w:rsidRDefault="00C10C0C">
      <w:r w:rsidRPr="005960C9">
        <w:tab/>
        <w:t>Ontario is really interested in normal tort law applying, minus its guest statute</w:t>
      </w:r>
    </w:p>
    <w:p w14:paraId="3F62FED6" w14:textId="77777777" w:rsidR="00C10C0C" w:rsidRPr="005960C9" w:rsidRDefault="00C10C0C">
      <w:r w:rsidRPr="005960C9">
        <w:tab/>
        <w:t xml:space="preserve">NY is also interested </w:t>
      </w:r>
      <w:proofErr w:type="spellStart"/>
      <w:r w:rsidRPr="005960C9">
        <w:t>bcz</w:t>
      </w:r>
      <w:proofErr w:type="spellEnd"/>
      <w:r w:rsidRPr="005960C9">
        <w:t xml:space="preserve"> it wants to compensate the New Yorkers</w:t>
      </w:r>
    </w:p>
    <w:p w14:paraId="53D7218C" w14:textId="77777777" w:rsidR="00C10C0C" w:rsidRPr="005960C9" w:rsidRDefault="00C10C0C">
      <w:r w:rsidRPr="005960C9">
        <w:tab/>
        <w:t xml:space="preserve">Ontario has deterrence interest </w:t>
      </w:r>
      <w:r w:rsidR="00063CB2">
        <w:t>concerning</w:t>
      </w:r>
      <w:r w:rsidRPr="005960C9">
        <w:t xml:space="preserve"> Ontario accidents</w:t>
      </w:r>
    </w:p>
    <w:p w14:paraId="7F2ECE79" w14:textId="77777777" w:rsidR="00C10C0C" w:rsidRPr="005960C9" w:rsidRDefault="00C10C0C"/>
    <w:p w14:paraId="41B3F743" w14:textId="77777777" w:rsidR="007766F1" w:rsidRPr="005960C9" w:rsidRDefault="007766F1"/>
    <w:p w14:paraId="30219032" w14:textId="77777777" w:rsidR="007766F1" w:rsidRDefault="007766F1">
      <w:r w:rsidRPr="005960C9">
        <w:t xml:space="preserve">What they are really saying at the end is that NY’s nonimmunity rule (absence of immunity) is </w:t>
      </w:r>
      <w:r w:rsidR="00B26643">
        <w:t>loss-allocating</w:t>
      </w:r>
    </w:p>
    <w:p w14:paraId="12A59340" w14:textId="77777777" w:rsidR="00063CB2" w:rsidRPr="003C41A5" w:rsidRDefault="00063CB2" w:rsidP="00063CB2">
      <w:pPr>
        <w:ind w:left="3600"/>
        <w:rPr>
          <w:i/>
        </w:rPr>
      </w:pPr>
      <w:r w:rsidRPr="003C41A5">
        <w:rPr>
          <w:i/>
        </w:rPr>
        <w:t xml:space="preserve">Finally, although it is conceivable that application of New York's law in this case would have some deterrent effect on future tortious conduct in this State, New York's deterrent interest is considerably less because none of the parties is a resident and the rule in conflict is loss-allocating rather than conduct-regulating. </w:t>
      </w:r>
    </w:p>
    <w:p w14:paraId="750EC3DB" w14:textId="77777777" w:rsidR="00063CB2" w:rsidRPr="005960C9" w:rsidRDefault="00063CB2"/>
    <w:p w14:paraId="527C9EF2" w14:textId="77777777" w:rsidR="00C10C0C" w:rsidRPr="005960C9" w:rsidRDefault="00B26643">
      <w:r>
        <w:lastRenderedPageBreak/>
        <w:tab/>
        <w:t>This footnote has to be</w:t>
      </w:r>
      <w:r w:rsidR="007766F1" w:rsidRPr="005960C9">
        <w:t xml:space="preserve"> completely wrong… it would turn all conduct-regulating rules into loss-allocating rules whenever conflict with some loss-allocating r</w:t>
      </w:r>
      <w:r>
        <w:t>ules (e.g. qualified immunity)</w:t>
      </w:r>
      <w:r w:rsidR="00C10C0C" w:rsidRPr="005960C9">
        <w:tab/>
      </w:r>
    </w:p>
    <w:p w14:paraId="11EA8375" w14:textId="77777777" w:rsidR="00C10C0C" w:rsidRPr="005960C9" w:rsidRDefault="007766F1">
      <w:r w:rsidRPr="005960C9">
        <w:tab/>
        <w:t>Right way is – 1 rule is conduct regulating (NY tort), and 1 is loss allocating (NJ immunity)</w:t>
      </w:r>
    </w:p>
    <w:p w14:paraId="6CC1D54D" w14:textId="77777777" w:rsidR="00935682" w:rsidRDefault="00935682"/>
    <w:p w14:paraId="6320D4D8" w14:textId="77777777" w:rsidR="00063CB2" w:rsidRDefault="00063CB2">
      <w:r>
        <w:t>So it looks like a true conflict between NY’s deterrence interest and NJ’s loss allocation interest</w:t>
      </w:r>
    </w:p>
    <w:p w14:paraId="7D9255A1" w14:textId="77777777" w:rsidR="00063CB2" w:rsidRPr="005960C9" w:rsidRDefault="00063CB2"/>
    <w:p w14:paraId="71EC08A8" w14:textId="77777777" w:rsidR="004F44BB" w:rsidRDefault="00F47726">
      <w:r w:rsidRPr="005960C9">
        <w:tab/>
      </w:r>
      <w:r w:rsidR="005D6B7F">
        <w:t>But how strong is NY’s deterrence interest?</w:t>
      </w:r>
    </w:p>
    <w:p w14:paraId="071508F3" w14:textId="77777777" w:rsidR="005D6B7F" w:rsidRPr="005960C9" w:rsidRDefault="005D6B7F" w:rsidP="005D6B7F">
      <w:pPr>
        <w:pStyle w:val="ListParagraph"/>
        <w:numPr>
          <w:ilvl w:val="0"/>
          <w:numId w:val="7"/>
        </w:numPr>
      </w:pPr>
      <w:r>
        <w:t>Not that much – the negligent hiring occurred in NJ</w:t>
      </w:r>
    </w:p>
    <w:p w14:paraId="4D0505C1" w14:textId="77777777" w:rsidR="00F47726" w:rsidRPr="005960C9" w:rsidRDefault="00A20BE3">
      <w:r>
        <w:tab/>
      </w:r>
      <w:r w:rsidR="005D6B7F">
        <w:t>We</w:t>
      </w:r>
      <w:r w:rsidR="00F47726" w:rsidRPr="005960C9">
        <w:t xml:space="preserve"> wouldn’t expect negligent hiring</w:t>
      </w:r>
      <w:r w:rsidR="005D6B7F">
        <w:t xml:space="preserve"> elsewhere to cause harm in NY</w:t>
      </w:r>
    </w:p>
    <w:p w14:paraId="54BA8EC9" w14:textId="77777777" w:rsidR="00F47726" w:rsidRPr="005960C9" w:rsidRDefault="00F47726">
      <w:r w:rsidRPr="005960C9">
        <w:tab/>
        <w:t xml:space="preserve">So this is a strong interest (preventing child molestation), but the interest will not be vindicated very much by applying </w:t>
      </w:r>
      <w:r w:rsidR="005D6B7F">
        <w:t>NY law</w:t>
      </w:r>
      <w:r w:rsidRPr="005960C9">
        <w:t xml:space="preserve"> – interest isn’t realized/furthered to any significant extent</w:t>
      </w:r>
    </w:p>
    <w:p w14:paraId="14048E69" w14:textId="77777777" w:rsidR="00F47726" w:rsidRPr="005960C9" w:rsidRDefault="00F47726"/>
    <w:p w14:paraId="0DD82060" w14:textId="77777777" w:rsidR="009D0686" w:rsidRPr="005960C9" w:rsidRDefault="009D0686">
      <w:r w:rsidRPr="005960C9">
        <w:t>Schultz is a true conflict case</w:t>
      </w:r>
    </w:p>
    <w:p w14:paraId="375EA844" w14:textId="77777777" w:rsidR="001A06B1" w:rsidRPr="005960C9" w:rsidRDefault="001A06B1">
      <w:r w:rsidRPr="005960C9">
        <w:tab/>
        <w:t>Another factor here is that P was forum-shopping, and thought NY was more likely to apply its law, so NY disliked the forum-shopping</w:t>
      </w:r>
    </w:p>
    <w:p w14:paraId="456A04AE" w14:textId="77777777" w:rsidR="001A06B1" w:rsidRPr="005960C9" w:rsidRDefault="001A06B1"/>
    <w:p w14:paraId="0F426819" w14:textId="77777777" w:rsidR="00171095" w:rsidRPr="005960C9" w:rsidRDefault="00171095"/>
    <w:p w14:paraId="01A0353E" w14:textId="77777777" w:rsidR="00171095" w:rsidRPr="005960C9" w:rsidRDefault="005D6B7F">
      <w:r>
        <w:t xml:space="preserve">In some respects Schultz is like </w:t>
      </w:r>
      <w:r w:rsidR="00171095" w:rsidRPr="005960C9">
        <w:t xml:space="preserve">Kell </w:t>
      </w:r>
    </w:p>
    <w:p w14:paraId="7A273ACD" w14:textId="77777777" w:rsidR="00171095" w:rsidRPr="005960C9" w:rsidRDefault="00171095">
      <w:r w:rsidRPr="005960C9">
        <w:tab/>
        <w:t>Ontario residents</w:t>
      </w:r>
    </w:p>
    <w:p w14:paraId="4E07BBEA" w14:textId="77777777" w:rsidR="00171095" w:rsidRPr="005960C9" w:rsidRDefault="00171095">
      <w:r w:rsidRPr="005960C9">
        <w:tab/>
        <w:t>Trip begins and ends in Ontario</w:t>
      </w:r>
    </w:p>
    <w:p w14:paraId="19C0E58A" w14:textId="77777777" w:rsidR="00171095" w:rsidRPr="005960C9" w:rsidRDefault="00171095">
      <w:r w:rsidRPr="005960C9">
        <w:tab/>
        <w:t>Accident in NY</w:t>
      </w:r>
    </w:p>
    <w:p w14:paraId="18329755" w14:textId="77777777" w:rsidR="00171095" w:rsidRDefault="00171095">
      <w:r w:rsidRPr="005960C9">
        <w:tab/>
        <w:t>Court applied NY law, not Ontario guest statute</w:t>
      </w:r>
    </w:p>
    <w:p w14:paraId="67E45432" w14:textId="77777777" w:rsidR="005D6B7F" w:rsidRPr="005960C9" w:rsidRDefault="005D6B7F">
      <w:r>
        <w:t xml:space="preserve">NY has deterrence interest that the </w:t>
      </w:r>
      <w:proofErr w:type="spellStart"/>
      <w:r>
        <w:t>ourt</w:t>
      </w:r>
      <w:proofErr w:type="spellEnd"/>
      <w:r>
        <w:t xml:space="preserve"> favors over </w:t>
      </w:r>
      <w:proofErr w:type="spellStart"/>
      <w:r>
        <w:t>Ontaruio’s</w:t>
      </w:r>
      <w:proofErr w:type="spellEnd"/>
      <w:r>
        <w:t xml:space="preserve"> loss </w:t>
      </w:r>
      <w:proofErr w:type="gramStart"/>
      <w:r>
        <w:t>allocation  interest</w:t>
      </w:r>
      <w:proofErr w:type="gramEnd"/>
    </w:p>
    <w:p w14:paraId="3D7EE478" w14:textId="77777777" w:rsidR="004C7855" w:rsidRDefault="00171095">
      <w:r w:rsidRPr="005960C9">
        <w:tab/>
      </w:r>
    </w:p>
    <w:p w14:paraId="480FB56C" w14:textId="77777777" w:rsidR="00171095" w:rsidRPr="005960C9" w:rsidRDefault="00171095">
      <w:r w:rsidRPr="005960C9">
        <w:tab/>
      </w:r>
      <w:r w:rsidR="004C7855">
        <w:tab/>
      </w:r>
      <w:r w:rsidR="004C7855">
        <w:tab/>
      </w:r>
      <w:r w:rsidRPr="005960C9">
        <w:t xml:space="preserve">difference is most of the wrongdoing occurred out-of-state, so </w:t>
      </w:r>
      <w:r w:rsidR="004C7855">
        <w:t xml:space="preserve">the </w:t>
      </w:r>
      <w:r w:rsidRPr="005960C9">
        <w:t xml:space="preserve">balance comes </w:t>
      </w:r>
      <w:r w:rsidR="004C7855">
        <w:tab/>
      </w:r>
      <w:r w:rsidRPr="005960C9">
        <w:t>out differently</w:t>
      </w:r>
    </w:p>
    <w:p w14:paraId="1DAFC44E" w14:textId="77777777" w:rsidR="00171095" w:rsidRDefault="00171095">
      <w:r w:rsidRPr="005960C9">
        <w:tab/>
      </w:r>
    </w:p>
    <w:p w14:paraId="7B0AB687" w14:textId="77777777" w:rsidR="005D6B7F" w:rsidRPr="005960C9" w:rsidRDefault="005D6B7F"/>
    <w:p w14:paraId="65096335" w14:textId="77777777" w:rsidR="00BE4DCC" w:rsidRDefault="00171095">
      <w:r w:rsidRPr="005960C9">
        <w:t>Neumeier rules – if conduct,</w:t>
      </w:r>
      <w:r w:rsidR="00A20BE3">
        <w:t xml:space="preserve"> look to law of</w:t>
      </w:r>
      <w:r w:rsidRPr="005960C9">
        <w:t xml:space="preserve"> place of harm, </w:t>
      </w:r>
    </w:p>
    <w:p w14:paraId="342FE65C" w14:textId="77777777" w:rsidR="00171095" w:rsidRPr="005960C9" w:rsidRDefault="00BE4DCC">
      <w:r>
        <w:tab/>
      </w:r>
      <w:r>
        <w:tab/>
        <w:t xml:space="preserve">Following rules </w:t>
      </w:r>
      <w:r w:rsidR="00171095" w:rsidRPr="005960C9">
        <w:t>only apply if</w:t>
      </w:r>
      <w:r>
        <w:t xml:space="preserve"> you decide rule is</w:t>
      </w:r>
      <w:r w:rsidR="00171095" w:rsidRPr="005960C9">
        <w:t xml:space="preserve"> loss</w:t>
      </w:r>
      <w:r>
        <w:t>-allocating</w:t>
      </w:r>
    </w:p>
    <w:p w14:paraId="2CA525CC" w14:textId="77777777" w:rsidR="00171095" w:rsidRPr="005960C9" w:rsidRDefault="005D6B7F" w:rsidP="005D6B7F">
      <w:pPr>
        <w:ind w:left="1980"/>
      </w:pPr>
      <w:r>
        <w:t xml:space="preserve">Rule 1: </w:t>
      </w:r>
      <w:r w:rsidR="00171095" w:rsidRPr="005960C9">
        <w:t>P and D live in same state, apply domicile rule</w:t>
      </w:r>
      <w:r>
        <w:t xml:space="preserve"> – This is Schultz concerning the Boy Scouts</w:t>
      </w:r>
    </w:p>
    <w:p w14:paraId="56A7DCCC" w14:textId="77777777" w:rsidR="00E575A4" w:rsidRDefault="00E575A4" w:rsidP="00BE4DCC">
      <w:pPr>
        <w:pStyle w:val="ListParagraph"/>
        <w:ind w:left="2268"/>
      </w:pPr>
    </w:p>
    <w:p w14:paraId="00CE6836" w14:textId="77777777" w:rsidR="005D6B7F" w:rsidRDefault="005D6B7F" w:rsidP="005D6B7F">
      <w:r>
        <w:t>Franciscans?</w:t>
      </w:r>
    </w:p>
    <w:p w14:paraId="09809AE4" w14:textId="77777777" w:rsidR="005D6B7F" w:rsidRDefault="005D6B7F" w:rsidP="00BE4DCC">
      <w:pPr>
        <w:pStyle w:val="ListParagraph"/>
        <w:ind w:left="2268"/>
      </w:pPr>
    </w:p>
    <w:p w14:paraId="25C2C3F2" w14:textId="77777777" w:rsidR="005D6B7F" w:rsidRDefault="005D6B7F" w:rsidP="005D6B7F">
      <w:pPr>
        <w:numPr>
          <w:ilvl w:val="4"/>
          <w:numId w:val="5"/>
        </w:numPr>
      </w:pPr>
      <w:r>
        <w:t>Not  common domicile</w:t>
      </w:r>
    </w:p>
    <w:p w14:paraId="3BE3D2D9" w14:textId="77777777" w:rsidR="005D6B7F" w:rsidRDefault="005D6B7F" w:rsidP="005D6B7F">
      <w:pPr>
        <w:numPr>
          <w:ilvl w:val="4"/>
          <w:numId w:val="5"/>
        </w:numPr>
      </w:pPr>
      <w:r>
        <w:t>This brings up the 3</w:t>
      </w:r>
      <w:r w:rsidRPr="005D6B7F">
        <w:rPr>
          <w:vertAlign w:val="superscript"/>
        </w:rPr>
        <w:t>rd</w:t>
      </w:r>
      <w:r>
        <w:t xml:space="preserve"> Neumeier rule</w:t>
      </w:r>
    </w:p>
    <w:p w14:paraId="2E1CAC4E" w14:textId="77777777" w:rsidR="005D6B7F" w:rsidRPr="005D6B7F" w:rsidRDefault="005D6B7F" w:rsidP="005D6B7F">
      <w:pPr>
        <w:numPr>
          <w:ilvl w:val="4"/>
          <w:numId w:val="5"/>
        </w:numPr>
        <w:rPr>
          <w:rStyle w:val="apple-style-span"/>
        </w:rPr>
      </w:pPr>
      <w:r>
        <w:t>"</w:t>
      </w:r>
      <w:r w:rsidRPr="00A776EF">
        <w:rPr>
          <w:color w:val="000000"/>
          <w:sz w:val="26"/>
          <w:szCs w:val="26"/>
        </w:rPr>
        <w:t xml:space="preserve"> </w:t>
      </w:r>
      <w:r>
        <w:rPr>
          <w:rStyle w:val="apple-style-span"/>
          <w:color w:val="000000"/>
          <w:sz w:val="26"/>
          <w:szCs w:val="26"/>
        </w:rPr>
        <w:t>As to defendant Franciscan Brothers, this action requires an application of the third of the rules set forth in</w:t>
      </w:r>
      <w:r>
        <w:rPr>
          <w:rStyle w:val="apple-converted-space"/>
          <w:rFonts w:eastAsiaTheme="majorEastAsia"/>
          <w:color w:val="000000"/>
          <w:sz w:val="26"/>
          <w:szCs w:val="26"/>
        </w:rPr>
        <w:t> </w:t>
      </w:r>
      <w:r>
        <w:rPr>
          <w:rStyle w:val="Emphasis"/>
          <w:color w:val="000000"/>
          <w:sz w:val="26"/>
          <w:szCs w:val="26"/>
        </w:rPr>
        <w:t>Neumeier</w:t>
      </w:r>
      <w:r>
        <w:rPr>
          <w:rStyle w:val="apple-converted-space"/>
          <w:rFonts w:eastAsiaTheme="majorEastAsia"/>
          <w:color w:val="000000"/>
          <w:sz w:val="26"/>
          <w:szCs w:val="26"/>
        </w:rPr>
        <w:t> </w:t>
      </w:r>
      <w:r>
        <w:rPr>
          <w:rStyle w:val="apple-style-span"/>
          <w:color w:val="000000"/>
          <w:sz w:val="26"/>
          <w:szCs w:val="26"/>
        </w:rPr>
        <w:t xml:space="preserve">because the parties are domiciled in different jurisdictions with conflicting loss-distribution rules and the locus of the tort is New York, a separate jurisdiction. In that situation the law of the place of the </w:t>
      </w:r>
      <w:r>
        <w:rPr>
          <w:rStyle w:val="apple-style-span"/>
          <w:color w:val="000000"/>
          <w:sz w:val="26"/>
          <w:szCs w:val="26"/>
        </w:rPr>
        <w:lastRenderedPageBreak/>
        <w:t>tort will normally apply, unless displacing it "'will advance' the relevant substantive law purposes without impairing the smooth working of the multi-state system or producing great uncertainty for litigants'""</w:t>
      </w:r>
    </w:p>
    <w:p w14:paraId="1D0B09D9" w14:textId="77777777" w:rsidR="005D6B7F" w:rsidRDefault="005D6B7F" w:rsidP="005D6B7F">
      <w:pPr>
        <w:ind w:left="3600"/>
      </w:pPr>
    </w:p>
    <w:p w14:paraId="4B8597AF" w14:textId="77777777" w:rsidR="005D6B7F" w:rsidRDefault="005D6B7F" w:rsidP="005D6B7F">
      <w:pPr>
        <w:ind w:left="4320"/>
      </w:pPr>
    </w:p>
    <w:p w14:paraId="5F18E3D9" w14:textId="77777777" w:rsidR="005D6B7F" w:rsidRDefault="00CA4CA6" w:rsidP="00CA4CA6">
      <w:pPr>
        <w:rPr>
          <w:rStyle w:val="apple-style-span"/>
          <w:color w:val="000000"/>
          <w:sz w:val="26"/>
          <w:szCs w:val="26"/>
        </w:rPr>
      </w:pPr>
      <w:r>
        <w:rPr>
          <w:rStyle w:val="apple-style-span"/>
          <w:color w:val="000000"/>
          <w:sz w:val="26"/>
          <w:szCs w:val="26"/>
        </w:rPr>
        <w:t xml:space="preserve">Court concludes that using NJ law 'will advance' the relevant substantive law purposes without impairing the smooth working of the multi-state system or producing great uncertainty for litigants'"  </w:t>
      </w:r>
    </w:p>
    <w:p w14:paraId="58E9DC6A" w14:textId="77777777" w:rsidR="00CA4CA6" w:rsidRDefault="00CA4CA6" w:rsidP="00CA4CA6">
      <w:pPr>
        <w:rPr>
          <w:rStyle w:val="apple-style-span"/>
          <w:color w:val="000000"/>
          <w:sz w:val="26"/>
          <w:szCs w:val="26"/>
        </w:rPr>
      </w:pPr>
    </w:p>
    <w:p w14:paraId="1EB9AD85" w14:textId="77777777" w:rsidR="00CA4CA6" w:rsidRDefault="00CA4CA6" w:rsidP="00CA4CA6">
      <w:r>
        <w:t>Reason is primarily that NY has no significant deterrence interest</w:t>
      </w:r>
    </w:p>
    <w:p w14:paraId="54428714" w14:textId="77777777" w:rsidR="00CA4CA6" w:rsidRDefault="00CA4CA6" w:rsidP="00CA4CA6"/>
    <w:p w14:paraId="1744FA36" w14:textId="77777777" w:rsidR="0081375C" w:rsidRPr="005960C9" w:rsidRDefault="00CA4CA6" w:rsidP="00E575A4">
      <w:r>
        <w:t xml:space="preserve">Also appeals to </w:t>
      </w:r>
      <w:r w:rsidR="0081375C" w:rsidRPr="005960C9">
        <w:t>Forum-shopping – so want things to turn out the same way regardless of where suit is brought… so NY doesn’t pick its own law to achieve horizontal uniformity and thwart P’s attempt at forum-shopping in this case. They want a uniform rule in which forum is irrelevant.</w:t>
      </w:r>
    </w:p>
    <w:p w14:paraId="4C3FAB54" w14:textId="77777777" w:rsidR="00BE4DCC" w:rsidRDefault="0081375C" w:rsidP="00E575A4">
      <w:r w:rsidRPr="005960C9">
        <w:tab/>
      </w:r>
    </w:p>
    <w:p w14:paraId="419C9AD2" w14:textId="77777777" w:rsidR="0081375C" w:rsidRPr="005960C9" w:rsidRDefault="00BE4DCC" w:rsidP="00E575A4">
      <w:r>
        <w:tab/>
      </w:r>
      <w:r w:rsidR="0081375C" w:rsidRPr="005960C9">
        <w:tab/>
        <w:t>-note: forum shopping and uniformity is only achiev</w:t>
      </w:r>
      <w:r>
        <w:t xml:space="preserve">ed if the states have the same </w:t>
      </w:r>
      <w:r>
        <w:tab/>
      </w:r>
      <w:r w:rsidR="0081375C" w:rsidRPr="005960C9">
        <w:t>rule… but at least its forum-neutral, it isn’t a selfish “</w:t>
      </w:r>
      <w:proofErr w:type="spellStart"/>
      <w:r w:rsidR="0081375C" w:rsidRPr="005960C9">
        <w:t>its</w:t>
      </w:r>
      <w:proofErr w:type="spellEnd"/>
      <w:r w:rsidR="0081375C" w:rsidRPr="005960C9">
        <w:t xml:space="preserve"> me!” explanation of why the </w:t>
      </w:r>
      <w:r>
        <w:tab/>
      </w:r>
      <w:r w:rsidR="0081375C" w:rsidRPr="005960C9">
        <w:t xml:space="preserve">forum </w:t>
      </w:r>
      <w:r>
        <w:tab/>
      </w:r>
      <w:r w:rsidR="0081375C" w:rsidRPr="005960C9">
        <w:t xml:space="preserve">state’s law should apply, more principled even-handed approach which doesn’t </w:t>
      </w:r>
      <w:r>
        <w:tab/>
      </w:r>
      <w:r w:rsidR="0081375C" w:rsidRPr="005960C9">
        <w:t xml:space="preserve">seem as contrary to purposes (perhaps not contrary to true rule) of FF&amp;C clause, treating </w:t>
      </w:r>
      <w:r>
        <w:tab/>
      </w:r>
      <w:r w:rsidR="0081375C" w:rsidRPr="005960C9">
        <w:t>sister states equally as you treat yourself</w:t>
      </w:r>
    </w:p>
    <w:p w14:paraId="2FEC33F2" w14:textId="77777777" w:rsidR="0081375C" w:rsidRPr="005960C9" w:rsidRDefault="0081375C" w:rsidP="00E575A4"/>
    <w:p w14:paraId="13919399" w14:textId="77777777" w:rsidR="0081375C" w:rsidRPr="005960C9" w:rsidRDefault="00E62A02" w:rsidP="00E575A4">
      <w:r w:rsidRPr="005960C9">
        <w:tab/>
        <w:t xml:space="preserve">So… we are talking about neutral rules – these need not achieve the same outcome, since </w:t>
      </w:r>
      <w:r w:rsidR="00A542FF">
        <w:t xml:space="preserve">First </w:t>
      </w:r>
      <w:proofErr w:type="spellStart"/>
      <w:r w:rsidR="00A542FF">
        <w:t>Restat</w:t>
      </w:r>
      <w:proofErr w:type="spellEnd"/>
      <w:r w:rsidR="00A542FF">
        <w:t>.</w:t>
      </w:r>
      <w:r w:rsidRPr="005960C9">
        <w:t xml:space="preserve"> doesn’t care about forum and a true conflicts</w:t>
      </w:r>
      <w:r w:rsidR="00A542FF">
        <w:t xml:space="preserve"> situation</w:t>
      </w:r>
      <w:r w:rsidRPr="005960C9">
        <w:t xml:space="preserve"> w/o forum have diff outcomes, it just knocks out the “</w:t>
      </w:r>
      <w:proofErr w:type="spellStart"/>
      <w:r w:rsidRPr="005960C9">
        <w:t>its</w:t>
      </w:r>
      <w:proofErr w:type="spellEnd"/>
      <w:r w:rsidRPr="005960C9">
        <w:t xml:space="preserve"> me!” selfish explanation</w:t>
      </w:r>
      <w:r w:rsidR="00A542FF">
        <w:t xml:space="preserve"> because</w:t>
      </w:r>
      <w:r w:rsidRPr="005960C9">
        <w:t xml:space="preserve"> then you </w:t>
      </w:r>
      <w:r w:rsidR="00A542FF">
        <w:t>have a more principled approach</w:t>
      </w:r>
    </w:p>
    <w:p w14:paraId="52D80F66" w14:textId="77777777" w:rsidR="00E62A02" w:rsidRPr="005960C9" w:rsidRDefault="00E62A02" w:rsidP="00E575A4">
      <w:r w:rsidRPr="005960C9">
        <w:tab/>
      </w:r>
      <w:proofErr w:type="gramStart"/>
      <w:r w:rsidRPr="005960C9">
        <w:t>So</w:t>
      </w:r>
      <w:proofErr w:type="gramEnd"/>
      <w:r w:rsidRPr="005960C9">
        <w:t xml:space="preserve"> you could say </w:t>
      </w:r>
      <w:r w:rsidR="00E71026" w:rsidRPr="005960C9">
        <w:t>result i</w:t>
      </w:r>
      <w:r w:rsidRPr="005960C9">
        <w:t xml:space="preserve">s not </w:t>
      </w:r>
      <w:r w:rsidR="00E71026" w:rsidRPr="005960C9">
        <w:t>mere</w:t>
      </w:r>
      <w:r w:rsidR="0015711A">
        <w:t xml:space="preserve">ly </w:t>
      </w:r>
      <w:proofErr w:type="spellStart"/>
      <w:r w:rsidR="0015711A">
        <w:t>bc</w:t>
      </w:r>
      <w:proofErr w:type="spellEnd"/>
      <w:r w:rsidRPr="005960C9">
        <w:t xml:space="preserve"> it’s the forum and the rule cares what the forum is, but rather that this particular </w:t>
      </w:r>
      <w:proofErr w:type="spellStart"/>
      <w:r w:rsidRPr="005960C9">
        <w:t>jdxn</w:t>
      </w:r>
      <w:proofErr w:type="spellEnd"/>
      <w:r w:rsidRPr="005960C9">
        <w:t xml:space="preserve"> simply follows different rules and the forum follows its </w:t>
      </w:r>
      <w:proofErr w:type="spellStart"/>
      <w:r w:rsidRPr="005960C9">
        <w:t>jdxn’s</w:t>
      </w:r>
      <w:proofErr w:type="spellEnd"/>
      <w:r w:rsidRPr="005960C9">
        <w:t xml:space="preserve"> conflicts approach </w:t>
      </w:r>
    </w:p>
    <w:p w14:paraId="45D3AC72" w14:textId="77777777" w:rsidR="00E62A02" w:rsidRPr="005960C9" w:rsidRDefault="00E62A02" w:rsidP="00E575A4"/>
    <w:p w14:paraId="648B7CEF" w14:textId="77777777" w:rsidR="00E62A02" w:rsidRPr="005960C9" w:rsidRDefault="00E62A02" w:rsidP="00E575A4"/>
    <w:p w14:paraId="5644CFC3" w14:textId="77777777" w:rsidR="00E62A02" w:rsidRPr="005960C9" w:rsidRDefault="007B4D94" w:rsidP="00E575A4">
      <w:pPr>
        <w:rPr>
          <w:b/>
          <w:u w:val="single"/>
        </w:rPr>
      </w:pPr>
      <w:r w:rsidRPr="005960C9">
        <w:rPr>
          <w:b/>
        </w:rPr>
        <w:tab/>
      </w:r>
      <w:r w:rsidRPr="005960C9">
        <w:rPr>
          <w:b/>
          <w:u w:val="single"/>
        </w:rPr>
        <w:t>Unprovided-for Case</w:t>
      </w:r>
    </w:p>
    <w:p w14:paraId="28E35E1B" w14:textId="77777777" w:rsidR="007B4D94" w:rsidRPr="005960C9" w:rsidRDefault="00E71026" w:rsidP="00E575A4">
      <w:r w:rsidRPr="005960C9">
        <w:rPr>
          <w:b/>
        </w:rPr>
        <w:tab/>
      </w:r>
      <w:r w:rsidRPr="005960C9">
        <w:rPr>
          <w:b/>
        </w:rPr>
        <w:tab/>
      </w:r>
      <w:r w:rsidRPr="005960C9">
        <w:t xml:space="preserve">When you look to purposes of each state’s laws, neither applies because neither </w:t>
      </w:r>
      <w:r w:rsidRPr="005960C9">
        <w:tab/>
        <w:t>state has an interest in its own law applying – neither cares…</w:t>
      </w:r>
    </w:p>
    <w:p w14:paraId="359E0BB9" w14:textId="77777777" w:rsidR="00E71026" w:rsidRPr="005960C9" w:rsidRDefault="00E71026" w:rsidP="00E71026">
      <w:pPr>
        <w:ind w:left="720"/>
      </w:pPr>
    </w:p>
    <w:p w14:paraId="0B3490DA" w14:textId="77777777" w:rsidR="001A0DC9" w:rsidRPr="005960C9" w:rsidRDefault="004C080A" w:rsidP="00636113">
      <w:pPr>
        <w:numPr>
          <w:ilvl w:val="0"/>
          <w:numId w:val="3"/>
        </w:numPr>
      </w:pPr>
      <w:r w:rsidRPr="005960C9">
        <w:t>Arizonan and Californian get in accident in Arizona</w:t>
      </w:r>
    </w:p>
    <w:p w14:paraId="7AA5AA19" w14:textId="77777777" w:rsidR="001A0DC9" w:rsidRPr="005960C9" w:rsidRDefault="004C080A" w:rsidP="00636113">
      <w:pPr>
        <w:numPr>
          <w:ilvl w:val="0"/>
          <w:numId w:val="3"/>
        </w:numPr>
      </w:pPr>
      <w:r w:rsidRPr="005960C9">
        <w:t>Californian dies</w:t>
      </w:r>
    </w:p>
    <w:p w14:paraId="407B760C" w14:textId="77777777" w:rsidR="001A0DC9" w:rsidRPr="005960C9" w:rsidRDefault="004C080A" w:rsidP="00636113">
      <w:pPr>
        <w:numPr>
          <w:ilvl w:val="0"/>
          <w:numId w:val="3"/>
        </w:numPr>
      </w:pPr>
      <w:r w:rsidRPr="005960C9">
        <w:t>Arizonan sues Californian’s estate</w:t>
      </w:r>
    </w:p>
    <w:p w14:paraId="5B6C72AA" w14:textId="77777777" w:rsidR="001A0DC9" w:rsidRPr="005960C9" w:rsidRDefault="004C080A" w:rsidP="00636113">
      <w:pPr>
        <w:numPr>
          <w:ilvl w:val="0"/>
          <w:numId w:val="3"/>
        </w:numPr>
      </w:pPr>
      <w:r w:rsidRPr="005960C9">
        <w:t>AZ has no survivorship of actions</w:t>
      </w:r>
    </w:p>
    <w:p w14:paraId="6A77C876" w14:textId="77777777" w:rsidR="001A0DC9" w:rsidRPr="005960C9" w:rsidRDefault="004C080A" w:rsidP="00636113">
      <w:pPr>
        <w:numPr>
          <w:ilvl w:val="0"/>
          <w:numId w:val="3"/>
        </w:numPr>
      </w:pPr>
      <w:r w:rsidRPr="005960C9">
        <w:t>Cal does</w:t>
      </w:r>
    </w:p>
    <w:p w14:paraId="10523581" w14:textId="77777777" w:rsidR="004C080A" w:rsidRPr="005960C9" w:rsidRDefault="004C080A" w:rsidP="00E575A4"/>
    <w:p w14:paraId="3CDB5926" w14:textId="77777777" w:rsidR="00866785" w:rsidRPr="005960C9" w:rsidRDefault="00CA4CA6" w:rsidP="00E575A4">
      <w:r>
        <w:t xml:space="preserve">AZ: </w:t>
      </w:r>
      <w:r w:rsidR="00866785" w:rsidRPr="005960C9">
        <w:t xml:space="preserve"> If you die, we wo</w:t>
      </w:r>
      <w:r w:rsidR="00153DC5">
        <w:t xml:space="preserve">n’t let them sue your heirs, </w:t>
      </w:r>
      <w:proofErr w:type="spellStart"/>
      <w:r w:rsidR="00153DC5">
        <w:t>bc</w:t>
      </w:r>
      <w:proofErr w:type="spellEnd"/>
      <w:r w:rsidR="00153DC5">
        <w:t xml:space="preserve"> we want to</w:t>
      </w:r>
      <w:r w:rsidR="00866785" w:rsidRPr="005960C9">
        <w:t xml:space="preserve"> protect estates (to the detriment of plaintiffs).</w:t>
      </w:r>
    </w:p>
    <w:p w14:paraId="45F7E4FD" w14:textId="77777777" w:rsidR="00866785" w:rsidRPr="005960C9" w:rsidRDefault="00866785" w:rsidP="00E575A4">
      <w:r w:rsidRPr="005960C9">
        <w:tab/>
        <w:t>Cal is pro-plaintiff</w:t>
      </w:r>
    </w:p>
    <w:p w14:paraId="5218A41D" w14:textId="77777777" w:rsidR="00866785" w:rsidRPr="005960C9" w:rsidRDefault="00866785" w:rsidP="00E575A4">
      <w:r w:rsidRPr="005960C9">
        <w:tab/>
        <w:t>Arizona is pro-defendant</w:t>
      </w:r>
    </w:p>
    <w:p w14:paraId="165CBD16" w14:textId="77777777" w:rsidR="00866785" w:rsidRPr="005960C9" w:rsidRDefault="00866785" w:rsidP="00E575A4">
      <w:r w:rsidRPr="005960C9">
        <w:tab/>
      </w:r>
      <w:r w:rsidRPr="005960C9">
        <w:tab/>
        <w:t>Arizona P, California D</w:t>
      </w:r>
    </w:p>
    <w:p w14:paraId="7ECEB294" w14:textId="77777777" w:rsidR="00866785" w:rsidRPr="005960C9" w:rsidRDefault="00866785" w:rsidP="00E575A4"/>
    <w:p w14:paraId="5AA5E3CE" w14:textId="77777777" w:rsidR="003C3EFC" w:rsidRDefault="004A08FC" w:rsidP="00E575A4">
      <w:r>
        <w:t>To have an “unprovided-for case”</w:t>
      </w:r>
      <w:r w:rsidR="003C3EFC">
        <w:t xml:space="preserve"> here, y</w:t>
      </w:r>
      <w:r w:rsidR="00866785" w:rsidRPr="005960C9">
        <w:t>ou need</w:t>
      </w:r>
      <w:r w:rsidR="003C3EFC">
        <w:t>:</w:t>
      </w:r>
    </w:p>
    <w:p w14:paraId="29214269" w14:textId="77777777" w:rsidR="00866785" w:rsidRPr="005960C9" w:rsidRDefault="003C3EFC" w:rsidP="00E575A4">
      <w:r>
        <w:tab/>
      </w:r>
      <w:r w:rsidR="00866785" w:rsidRPr="005960C9">
        <w:t xml:space="preserve">P’s domicile law </w:t>
      </w:r>
      <w:r w:rsidR="00E2485C">
        <w:t xml:space="preserve">to </w:t>
      </w:r>
      <w:r w:rsidR="00866785" w:rsidRPr="005960C9">
        <w:t>benefit D</w:t>
      </w:r>
    </w:p>
    <w:p w14:paraId="7BFD712F" w14:textId="77777777" w:rsidR="00866785" w:rsidRPr="005960C9" w:rsidRDefault="003C3EFC" w:rsidP="00E575A4">
      <w:r>
        <w:tab/>
      </w:r>
      <w:r w:rsidR="00866785" w:rsidRPr="005960C9">
        <w:t xml:space="preserve">D’s domicile law </w:t>
      </w:r>
      <w:r w:rsidR="00E2485C">
        <w:t xml:space="preserve">to </w:t>
      </w:r>
      <w:r w:rsidR="00866785" w:rsidRPr="005960C9">
        <w:t>benefit P</w:t>
      </w:r>
    </w:p>
    <w:p w14:paraId="44EC1D5F" w14:textId="77777777" w:rsidR="00866785" w:rsidRPr="005960C9" w:rsidRDefault="00866785" w:rsidP="00E575A4">
      <w:r w:rsidRPr="005960C9">
        <w:t>Wrongdoing is in P’s domicile (or some third state that prohibits recovery)</w:t>
      </w:r>
    </w:p>
    <w:p w14:paraId="312FA4BF" w14:textId="77777777" w:rsidR="00866785" w:rsidRPr="005960C9" w:rsidRDefault="00866785" w:rsidP="00E575A4">
      <w:r w:rsidRPr="005960C9">
        <w:tab/>
      </w:r>
    </w:p>
    <w:p w14:paraId="0BD0080F" w14:textId="77777777" w:rsidR="00866785" w:rsidRPr="005960C9" w:rsidRDefault="00866785" w:rsidP="00E575A4">
      <w:r w:rsidRPr="005960C9">
        <w:tab/>
      </w:r>
      <w:r w:rsidR="00CA4CA6">
        <w:t>Example is Neumeier:</w:t>
      </w:r>
    </w:p>
    <w:p w14:paraId="46D1E4AA" w14:textId="77777777" w:rsidR="00866785" w:rsidRPr="005960C9" w:rsidRDefault="00866785" w:rsidP="00E575A4"/>
    <w:p w14:paraId="7D3E36F4" w14:textId="77777777" w:rsidR="001A0DC9" w:rsidRPr="005960C9" w:rsidRDefault="004C080A" w:rsidP="00866785">
      <w:pPr>
        <w:numPr>
          <w:ilvl w:val="0"/>
          <w:numId w:val="4"/>
        </w:numPr>
      </w:pPr>
      <w:r w:rsidRPr="005960C9">
        <w:t xml:space="preserve">Ontario guest riding in </w:t>
      </w:r>
      <w:proofErr w:type="spellStart"/>
      <w:r w:rsidRPr="005960C9">
        <w:t>NYer’s</w:t>
      </w:r>
      <w:proofErr w:type="spellEnd"/>
      <w:r w:rsidRPr="005960C9">
        <w:t xml:space="preserve"> car </w:t>
      </w:r>
    </w:p>
    <w:p w14:paraId="56CF2FBE" w14:textId="77777777" w:rsidR="001A0DC9" w:rsidRPr="005960C9" w:rsidRDefault="004C080A" w:rsidP="00866785">
      <w:pPr>
        <w:numPr>
          <w:ilvl w:val="0"/>
          <w:numId w:val="4"/>
        </w:numPr>
      </w:pPr>
      <w:r w:rsidRPr="005960C9">
        <w:t>accident in Ontario</w:t>
      </w:r>
    </w:p>
    <w:p w14:paraId="656764A9" w14:textId="77777777" w:rsidR="001A0DC9" w:rsidRPr="005960C9" w:rsidRDefault="004C080A" w:rsidP="00866785">
      <w:pPr>
        <w:numPr>
          <w:ilvl w:val="0"/>
          <w:numId w:val="4"/>
        </w:numPr>
      </w:pPr>
      <w:r w:rsidRPr="005960C9">
        <w:t xml:space="preserve">Ontario has guest statute </w:t>
      </w:r>
    </w:p>
    <w:p w14:paraId="4A8DA307" w14:textId="77777777" w:rsidR="001A0DC9" w:rsidRDefault="004C080A" w:rsidP="00866785">
      <w:pPr>
        <w:numPr>
          <w:ilvl w:val="0"/>
          <w:numId w:val="4"/>
        </w:numPr>
      </w:pPr>
      <w:r w:rsidRPr="005960C9">
        <w:t>NY doesn’t</w:t>
      </w:r>
    </w:p>
    <w:p w14:paraId="36B41225" w14:textId="77777777" w:rsidR="00CA4CA6" w:rsidRDefault="00CA4CA6" w:rsidP="00866785">
      <w:pPr>
        <w:numPr>
          <w:ilvl w:val="0"/>
          <w:numId w:val="4"/>
        </w:numPr>
      </w:pPr>
    </w:p>
    <w:p w14:paraId="3528DDAC" w14:textId="77777777" w:rsidR="00CA4CA6" w:rsidRPr="005960C9" w:rsidRDefault="00CA4CA6" w:rsidP="00CA4CA6">
      <w:r w:rsidRPr="005960C9">
        <w:t xml:space="preserve">**However, </w:t>
      </w:r>
      <w:r>
        <w:t>Kramer</w:t>
      </w:r>
      <w:r w:rsidRPr="005960C9">
        <w:t xml:space="preserve"> doesn’t really think unprovided-for cases exist. </w:t>
      </w:r>
      <w:r w:rsidRPr="005960C9">
        <w:tab/>
      </w:r>
    </w:p>
    <w:p w14:paraId="7BCCED37" w14:textId="77777777" w:rsidR="00866785" w:rsidRPr="005960C9" w:rsidRDefault="00866785" w:rsidP="00E575A4">
      <w:proofErr w:type="gramStart"/>
      <w:r w:rsidRPr="005960C9">
        <w:t>So</w:t>
      </w:r>
      <w:proofErr w:type="gramEnd"/>
      <w:r w:rsidRPr="005960C9">
        <w:t xml:space="preserve"> </w:t>
      </w:r>
      <w:proofErr w:type="spellStart"/>
      <w:r w:rsidRPr="005960C9">
        <w:t>its</w:t>
      </w:r>
      <w:proofErr w:type="spellEnd"/>
      <w:r w:rsidRPr="005960C9">
        <w:t xml:space="preserve"> not true that No law applies, just that the Ontario guest statute doesn’t apply. Ontario tort law still applies, and its interests are still furthered (deterring Ontario accidents and compensating injured </w:t>
      </w:r>
      <w:proofErr w:type="spellStart"/>
      <w:r w:rsidRPr="005960C9">
        <w:t>Ontarioans</w:t>
      </w:r>
      <w:proofErr w:type="spellEnd"/>
      <w:r w:rsidRPr="005960C9">
        <w:t>)</w:t>
      </w:r>
    </w:p>
    <w:p w14:paraId="7FB56018" w14:textId="77777777" w:rsidR="00E62A02" w:rsidRPr="005960C9" w:rsidRDefault="00A76968" w:rsidP="00E575A4">
      <w:r w:rsidRPr="005960C9">
        <w:tab/>
      </w:r>
    </w:p>
    <w:p w14:paraId="6C348881" w14:textId="77777777" w:rsidR="004C080A" w:rsidRPr="005960C9" w:rsidRDefault="004C080A" w:rsidP="00E575A4">
      <w:r w:rsidRPr="005960C9">
        <w:tab/>
      </w:r>
      <w:r w:rsidRPr="005960C9">
        <w:tab/>
      </w:r>
      <w:r w:rsidR="00CA4CA6">
        <w:t>But</w:t>
      </w:r>
      <w:r w:rsidRPr="005960C9">
        <w:t xml:space="preserve"> in Arizona and California</w:t>
      </w:r>
      <w:r w:rsidR="00CA4CA6">
        <w:t xml:space="preserve"> example</w:t>
      </w:r>
      <w:r w:rsidR="004C7855">
        <w:t>,</w:t>
      </w:r>
      <w:r w:rsidRPr="005960C9">
        <w:t xml:space="preserve"> there is a problem with </w:t>
      </w:r>
      <w:proofErr w:type="spellStart"/>
      <w:r w:rsidRPr="005960C9">
        <w:t>kramer’s</w:t>
      </w:r>
      <w:proofErr w:type="spellEnd"/>
      <w:r w:rsidRPr="005960C9">
        <w:t xml:space="preserve"> arg. There was no survivorship at common law, </w:t>
      </w:r>
    </w:p>
    <w:p w14:paraId="3665AC95" w14:textId="77777777" w:rsidR="004C080A" w:rsidRPr="005960C9" w:rsidRDefault="004C080A" w:rsidP="00E575A4">
      <w:r w:rsidRPr="005960C9">
        <w:tab/>
        <w:t>So we are beginning to create mythical laws</w:t>
      </w:r>
      <w:r w:rsidR="004C7855">
        <w:t xml:space="preserve"> that states might want if they</w:t>
      </w:r>
      <w:r w:rsidRPr="005960C9">
        <w:t xml:space="preserve"> had all their interests furthered</w:t>
      </w:r>
      <w:r w:rsidR="004C7855">
        <w:t>…</w:t>
      </w:r>
    </w:p>
    <w:p w14:paraId="759AA35F" w14:textId="77777777" w:rsidR="0081375C" w:rsidRPr="005960C9" w:rsidRDefault="004C080A" w:rsidP="00E575A4">
      <w:r w:rsidRPr="005960C9">
        <w:tab/>
      </w:r>
      <w:r w:rsidRPr="005960C9">
        <w:tab/>
        <w:t xml:space="preserve">Like </w:t>
      </w:r>
      <w:r w:rsidR="00B26643">
        <w:t>NY’s hypothetical guest statute</w:t>
      </w:r>
      <w:r w:rsidR="0081375C" w:rsidRPr="005960C9">
        <w:tab/>
      </w:r>
    </w:p>
    <w:p w14:paraId="487A6C25" w14:textId="77777777" w:rsidR="00E575A4" w:rsidRPr="005960C9" w:rsidRDefault="00E575A4" w:rsidP="00E575A4">
      <w:pPr>
        <w:ind w:left="3600"/>
        <w:rPr>
          <w:szCs w:val="22"/>
        </w:rPr>
      </w:pPr>
    </w:p>
    <w:p w14:paraId="1B93B25E" w14:textId="77777777" w:rsidR="0017630B" w:rsidRPr="005960C9" w:rsidRDefault="0017630B" w:rsidP="00935682">
      <w:pPr>
        <w:rPr>
          <w:sz w:val="28"/>
        </w:rPr>
      </w:pPr>
    </w:p>
    <w:sectPr w:rsidR="0017630B" w:rsidRPr="00596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B70"/>
    <w:multiLevelType w:val="hybridMultilevel"/>
    <w:tmpl w:val="FA7E4A84"/>
    <w:lvl w:ilvl="0" w:tplc="EAEAB73E">
      <w:start w:val="1"/>
      <w:numFmt w:val="upperRoman"/>
      <w:lvlText w:val="%1."/>
      <w:lvlJc w:val="left"/>
      <w:pPr>
        <w:tabs>
          <w:tab w:val="num" w:pos="1080"/>
        </w:tabs>
        <w:ind w:left="1080" w:hanging="720"/>
      </w:pPr>
    </w:lvl>
    <w:lvl w:ilvl="1" w:tplc="04090015">
      <w:start w:val="1"/>
      <w:numFmt w:val="upperLetter"/>
      <w:lvlText w:val="%2."/>
      <w:lvlJc w:val="left"/>
      <w:pPr>
        <w:tabs>
          <w:tab w:val="num" w:pos="1440"/>
        </w:tabs>
        <w:ind w:left="1440" w:hanging="360"/>
      </w:pPr>
    </w:lvl>
    <w:lvl w:ilvl="2" w:tplc="31D8AB4E">
      <w:start w:val="1"/>
      <w:numFmt w:val="decimal"/>
      <w:lvlText w:val="%3."/>
      <w:lvlJc w:val="left"/>
      <w:pPr>
        <w:tabs>
          <w:tab w:val="num" w:pos="2268"/>
        </w:tabs>
        <w:ind w:left="2268" w:hanging="288"/>
      </w:pPr>
      <w:rPr>
        <w:rFonts w:ascii="Times New Roman" w:hAnsi="Times New Roman" w:cs="Times New Roman" w:hint="default"/>
        <w:b w:val="0"/>
        <w:color w:val="auto"/>
        <w:sz w:val="24"/>
        <w:szCs w:val="24"/>
      </w:rPr>
    </w:lvl>
    <w:lvl w:ilvl="3" w:tplc="48400C40">
      <w:start w:val="1"/>
      <w:numFmt w:val="lowerLetter"/>
      <w:lvlText w:val="%4."/>
      <w:lvlJc w:val="left"/>
      <w:pPr>
        <w:tabs>
          <w:tab w:val="num" w:pos="2880"/>
        </w:tabs>
        <w:ind w:left="2880" w:hanging="360"/>
      </w:pPr>
      <w:rPr>
        <w:b w:val="0"/>
        <w:color w:val="auto"/>
      </w:rPr>
    </w:lvl>
    <w:lvl w:ilvl="4" w:tplc="AEDA9418">
      <w:start w:val="1"/>
      <w:numFmt w:val="lowerRoman"/>
      <w:lvlText w:val="%5."/>
      <w:lvlJc w:val="left"/>
      <w:pPr>
        <w:tabs>
          <w:tab w:val="num" w:pos="3600"/>
        </w:tabs>
        <w:ind w:left="3600" w:hanging="360"/>
      </w:pPr>
      <w:rPr>
        <w:b w:val="0"/>
        <w:i w:val="0"/>
        <w:color w:val="auto"/>
      </w:rPr>
    </w:lvl>
    <w:lvl w:ilvl="5" w:tplc="1C683FDA">
      <w:start w:val="1"/>
      <w:numFmt w:val="decimal"/>
      <w:lvlText w:val="%6)"/>
      <w:lvlJc w:val="left"/>
      <w:pPr>
        <w:tabs>
          <w:tab w:val="num" w:pos="4500"/>
        </w:tabs>
        <w:ind w:left="4500" w:hanging="360"/>
      </w:pPr>
      <w:rPr>
        <w:b w:val="0"/>
        <w:i w:val="0"/>
        <w:color w:val="auto"/>
      </w:rPr>
    </w:lvl>
    <w:lvl w:ilvl="6" w:tplc="A9186F74">
      <w:start w:val="1"/>
      <w:numFmt w:val="bullet"/>
      <w:lvlText w:val=""/>
      <w:lvlJc w:val="left"/>
      <w:pPr>
        <w:tabs>
          <w:tab w:val="num" w:pos="4968"/>
        </w:tabs>
        <w:ind w:left="4968" w:hanging="288"/>
      </w:pPr>
      <w:rPr>
        <w:rFonts w:ascii="Symbol" w:hAnsi="Symbol" w:hint="default"/>
        <w:color w:val="auto"/>
        <w:sz w:val="18"/>
        <w:szCs w:val="18"/>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3D543A"/>
    <w:multiLevelType w:val="hybridMultilevel"/>
    <w:tmpl w:val="F2E854B2"/>
    <w:lvl w:ilvl="0" w:tplc="89A881DA">
      <w:start w:val="1"/>
      <w:numFmt w:val="bullet"/>
      <w:lvlText w:val="•"/>
      <w:lvlJc w:val="left"/>
      <w:pPr>
        <w:tabs>
          <w:tab w:val="num" w:pos="720"/>
        </w:tabs>
        <w:ind w:left="720" w:hanging="360"/>
      </w:pPr>
      <w:rPr>
        <w:rFonts w:ascii="Arial" w:hAnsi="Arial" w:hint="default"/>
      </w:rPr>
    </w:lvl>
    <w:lvl w:ilvl="1" w:tplc="0ECE6BE0" w:tentative="1">
      <w:start w:val="1"/>
      <w:numFmt w:val="bullet"/>
      <w:lvlText w:val="•"/>
      <w:lvlJc w:val="left"/>
      <w:pPr>
        <w:tabs>
          <w:tab w:val="num" w:pos="1440"/>
        </w:tabs>
        <w:ind w:left="1440" w:hanging="360"/>
      </w:pPr>
      <w:rPr>
        <w:rFonts w:ascii="Arial" w:hAnsi="Arial" w:hint="default"/>
      </w:rPr>
    </w:lvl>
    <w:lvl w:ilvl="2" w:tplc="07EE7120" w:tentative="1">
      <w:start w:val="1"/>
      <w:numFmt w:val="bullet"/>
      <w:lvlText w:val="•"/>
      <w:lvlJc w:val="left"/>
      <w:pPr>
        <w:tabs>
          <w:tab w:val="num" w:pos="2160"/>
        </w:tabs>
        <w:ind w:left="2160" w:hanging="360"/>
      </w:pPr>
      <w:rPr>
        <w:rFonts w:ascii="Arial" w:hAnsi="Arial" w:hint="default"/>
      </w:rPr>
    </w:lvl>
    <w:lvl w:ilvl="3" w:tplc="424A6724" w:tentative="1">
      <w:start w:val="1"/>
      <w:numFmt w:val="bullet"/>
      <w:lvlText w:val="•"/>
      <w:lvlJc w:val="left"/>
      <w:pPr>
        <w:tabs>
          <w:tab w:val="num" w:pos="2880"/>
        </w:tabs>
        <w:ind w:left="2880" w:hanging="360"/>
      </w:pPr>
      <w:rPr>
        <w:rFonts w:ascii="Arial" w:hAnsi="Arial" w:hint="default"/>
      </w:rPr>
    </w:lvl>
    <w:lvl w:ilvl="4" w:tplc="6B784B32" w:tentative="1">
      <w:start w:val="1"/>
      <w:numFmt w:val="bullet"/>
      <w:lvlText w:val="•"/>
      <w:lvlJc w:val="left"/>
      <w:pPr>
        <w:tabs>
          <w:tab w:val="num" w:pos="3600"/>
        </w:tabs>
        <w:ind w:left="3600" w:hanging="360"/>
      </w:pPr>
      <w:rPr>
        <w:rFonts w:ascii="Arial" w:hAnsi="Arial" w:hint="default"/>
      </w:rPr>
    </w:lvl>
    <w:lvl w:ilvl="5" w:tplc="1AF812C6" w:tentative="1">
      <w:start w:val="1"/>
      <w:numFmt w:val="bullet"/>
      <w:lvlText w:val="•"/>
      <w:lvlJc w:val="left"/>
      <w:pPr>
        <w:tabs>
          <w:tab w:val="num" w:pos="4320"/>
        </w:tabs>
        <w:ind w:left="4320" w:hanging="360"/>
      </w:pPr>
      <w:rPr>
        <w:rFonts w:ascii="Arial" w:hAnsi="Arial" w:hint="default"/>
      </w:rPr>
    </w:lvl>
    <w:lvl w:ilvl="6" w:tplc="77AEEF98" w:tentative="1">
      <w:start w:val="1"/>
      <w:numFmt w:val="bullet"/>
      <w:lvlText w:val="•"/>
      <w:lvlJc w:val="left"/>
      <w:pPr>
        <w:tabs>
          <w:tab w:val="num" w:pos="5040"/>
        </w:tabs>
        <w:ind w:left="5040" w:hanging="360"/>
      </w:pPr>
      <w:rPr>
        <w:rFonts w:ascii="Arial" w:hAnsi="Arial" w:hint="default"/>
      </w:rPr>
    </w:lvl>
    <w:lvl w:ilvl="7" w:tplc="1C4E31F4" w:tentative="1">
      <w:start w:val="1"/>
      <w:numFmt w:val="bullet"/>
      <w:lvlText w:val="•"/>
      <w:lvlJc w:val="left"/>
      <w:pPr>
        <w:tabs>
          <w:tab w:val="num" w:pos="5760"/>
        </w:tabs>
        <w:ind w:left="5760" w:hanging="360"/>
      </w:pPr>
      <w:rPr>
        <w:rFonts w:ascii="Arial" w:hAnsi="Arial" w:hint="default"/>
      </w:rPr>
    </w:lvl>
    <w:lvl w:ilvl="8" w:tplc="D6C49B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416494"/>
    <w:multiLevelType w:val="hybridMultilevel"/>
    <w:tmpl w:val="F6F49DBC"/>
    <w:lvl w:ilvl="0" w:tplc="D2F0E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464C4"/>
    <w:multiLevelType w:val="hybridMultilevel"/>
    <w:tmpl w:val="E6F284F8"/>
    <w:lvl w:ilvl="0" w:tplc="B582D0A8">
      <w:start w:val="1"/>
      <w:numFmt w:val="bullet"/>
      <w:lvlText w:val="•"/>
      <w:lvlJc w:val="left"/>
      <w:pPr>
        <w:tabs>
          <w:tab w:val="num" w:pos="720"/>
        </w:tabs>
        <w:ind w:left="720" w:hanging="360"/>
      </w:pPr>
      <w:rPr>
        <w:rFonts w:ascii="Arial" w:hAnsi="Arial" w:hint="default"/>
      </w:rPr>
    </w:lvl>
    <w:lvl w:ilvl="1" w:tplc="3F54CAF2" w:tentative="1">
      <w:start w:val="1"/>
      <w:numFmt w:val="bullet"/>
      <w:lvlText w:val="•"/>
      <w:lvlJc w:val="left"/>
      <w:pPr>
        <w:tabs>
          <w:tab w:val="num" w:pos="1440"/>
        </w:tabs>
        <w:ind w:left="1440" w:hanging="360"/>
      </w:pPr>
      <w:rPr>
        <w:rFonts w:ascii="Arial" w:hAnsi="Arial" w:hint="default"/>
      </w:rPr>
    </w:lvl>
    <w:lvl w:ilvl="2" w:tplc="57F60812" w:tentative="1">
      <w:start w:val="1"/>
      <w:numFmt w:val="bullet"/>
      <w:lvlText w:val="•"/>
      <w:lvlJc w:val="left"/>
      <w:pPr>
        <w:tabs>
          <w:tab w:val="num" w:pos="2160"/>
        </w:tabs>
        <w:ind w:left="2160" w:hanging="360"/>
      </w:pPr>
      <w:rPr>
        <w:rFonts w:ascii="Arial" w:hAnsi="Arial" w:hint="default"/>
      </w:rPr>
    </w:lvl>
    <w:lvl w:ilvl="3" w:tplc="04EC3782" w:tentative="1">
      <w:start w:val="1"/>
      <w:numFmt w:val="bullet"/>
      <w:lvlText w:val="•"/>
      <w:lvlJc w:val="left"/>
      <w:pPr>
        <w:tabs>
          <w:tab w:val="num" w:pos="2880"/>
        </w:tabs>
        <w:ind w:left="2880" w:hanging="360"/>
      </w:pPr>
      <w:rPr>
        <w:rFonts w:ascii="Arial" w:hAnsi="Arial" w:hint="default"/>
      </w:rPr>
    </w:lvl>
    <w:lvl w:ilvl="4" w:tplc="F3A6C5BC" w:tentative="1">
      <w:start w:val="1"/>
      <w:numFmt w:val="bullet"/>
      <w:lvlText w:val="•"/>
      <w:lvlJc w:val="left"/>
      <w:pPr>
        <w:tabs>
          <w:tab w:val="num" w:pos="3600"/>
        </w:tabs>
        <w:ind w:left="3600" w:hanging="360"/>
      </w:pPr>
      <w:rPr>
        <w:rFonts w:ascii="Arial" w:hAnsi="Arial" w:hint="default"/>
      </w:rPr>
    </w:lvl>
    <w:lvl w:ilvl="5" w:tplc="52DEA67C" w:tentative="1">
      <w:start w:val="1"/>
      <w:numFmt w:val="bullet"/>
      <w:lvlText w:val="•"/>
      <w:lvlJc w:val="left"/>
      <w:pPr>
        <w:tabs>
          <w:tab w:val="num" w:pos="4320"/>
        </w:tabs>
        <w:ind w:left="4320" w:hanging="360"/>
      </w:pPr>
      <w:rPr>
        <w:rFonts w:ascii="Arial" w:hAnsi="Arial" w:hint="default"/>
      </w:rPr>
    </w:lvl>
    <w:lvl w:ilvl="6" w:tplc="65FA88BC" w:tentative="1">
      <w:start w:val="1"/>
      <w:numFmt w:val="bullet"/>
      <w:lvlText w:val="•"/>
      <w:lvlJc w:val="left"/>
      <w:pPr>
        <w:tabs>
          <w:tab w:val="num" w:pos="5040"/>
        </w:tabs>
        <w:ind w:left="5040" w:hanging="360"/>
      </w:pPr>
      <w:rPr>
        <w:rFonts w:ascii="Arial" w:hAnsi="Arial" w:hint="default"/>
      </w:rPr>
    </w:lvl>
    <w:lvl w:ilvl="7" w:tplc="275C5FA2" w:tentative="1">
      <w:start w:val="1"/>
      <w:numFmt w:val="bullet"/>
      <w:lvlText w:val="•"/>
      <w:lvlJc w:val="left"/>
      <w:pPr>
        <w:tabs>
          <w:tab w:val="num" w:pos="5760"/>
        </w:tabs>
        <w:ind w:left="5760" w:hanging="360"/>
      </w:pPr>
      <w:rPr>
        <w:rFonts w:ascii="Arial" w:hAnsi="Arial" w:hint="default"/>
      </w:rPr>
    </w:lvl>
    <w:lvl w:ilvl="8" w:tplc="2A22C7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0C672B"/>
    <w:multiLevelType w:val="hybridMultilevel"/>
    <w:tmpl w:val="79AC2A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F65283E"/>
    <w:multiLevelType w:val="hybridMultilevel"/>
    <w:tmpl w:val="363ABE84"/>
    <w:lvl w:ilvl="0" w:tplc="4A96E6A2">
      <w:start w:val="1"/>
      <w:numFmt w:val="bullet"/>
      <w:lvlText w:val="•"/>
      <w:lvlJc w:val="left"/>
      <w:pPr>
        <w:tabs>
          <w:tab w:val="num" w:pos="720"/>
        </w:tabs>
        <w:ind w:left="720" w:hanging="360"/>
      </w:pPr>
      <w:rPr>
        <w:rFonts w:ascii="Arial" w:hAnsi="Arial" w:hint="default"/>
      </w:rPr>
    </w:lvl>
    <w:lvl w:ilvl="1" w:tplc="792887C4" w:tentative="1">
      <w:start w:val="1"/>
      <w:numFmt w:val="bullet"/>
      <w:lvlText w:val="•"/>
      <w:lvlJc w:val="left"/>
      <w:pPr>
        <w:tabs>
          <w:tab w:val="num" w:pos="1440"/>
        </w:tabs>
        <w:ind w:left="1440" w:hanging="360"/>
      </w:pPr>
      <w:rPr>
        <w:rFonts w:ascii="Arial" w:hAnsi="Arial" w:hint="default"/>
      </w:rPr>
    </w:lvl>
    <w:lvl w:ilvl="2" w:tplc="084CCEE0" w:tentative="1">
      <w:start w:val="1"/>
      <w:numFmt w:val="bullet"/>
      <w:lvlText w:val="•"/>
      <w:lvlJc w:val="left"/>
      <w:pPr>
        <w:tabs>
          <w:tab w:val="num" w:pos="2160"/>
        </w:tabs>
        <w:ind w:left="2160" w:hanging="360"/>
      </w:pPr>
      <w:rPr>
        <w:rFonts w:ascii="Arial" w:hAnsi="Arial" w:hint="default"/>
      </w:rPr>
    </w:lvl>
    <w:lvl w:ilvl="3" w:tplc="EC5C163E" w:tentative="1">
      <w:start w:val="1"/>
      <w:numFmt w:val="bullet"/>
      <w:lvlText w:val="•"/>
      <w:lvlJc w:val="left"/>
      <w:pPr>
        <w:tabs>
          <w:tab w:val="num" w:pos="2880"/>
        </w:tabs>
        <w:ind w:left="2880" w:hanging="360"/>
      </w:pPr>
      <w:rPr>
        <w:rFonts w:ascii="Arial" w:hAnsi="Arial" w:hint="default"/>
      </w:rPr>
    </w:lvl>
    <w:lvl w:ilvl="4" w:tplc="BDB459DE" w:tentative="1">
      <w:start w:val="1"/>
      <w:numFmt w:val="bullet"/>
      <w:lvlText w:val="•"/>
      <w:lvlJc w:val="left"/>
      <w:pPr>
        <w:tabs>
          <w:tab w:val="num" w:pos="3600"/>
        </w:tabs>
        <w:ind w:left="3600" w:hanging="360"/>
      </w:pPr>
      <w:rPr>
        <w:rFonts w:ascii="Arial" w:hAnsi="Arial" w:hint="default"/>
      </w:rPr>
    </w:lvl>
    <w:lvl w:ilvl="5" w:tplc="30E40FDA" w:tentative="1">
      <w:start w:val="1"/>
      <w:numFmt w:val="bullet"/>
      <w:lvlText w:val="•"/>
      <w:lvlJc w:val="left"/>
      <w:pPr>
        <w:tabs>
          <w:tab w:val="num" w:pos="4320"/>
        </w:tabs>
        <w:ind w:left="4320" w:hanging="360"/>
      </w:pPr>
      <w:rPr>
        <w:rFonts w:ascii="Arial" w:hAnsi="Arial" w:hint="default"/>
      </w:rPr>
    </w:lvl>
    <w:lvl w:ilvl="6" w:tplc="61765D74" w:tentative="1">
      <w:start w:val="1"/>
      <w:numFmt w:val="bullet"/>
      <w:lvlText w:val="•"/>
      <w:lvlJc w:val="left"/>
      <w:pPr>
        <w:tabs>
          <w:tab w:val="num" w:pos="5040"/>
        </w:tabs>
        <w:ind w:left="5040" w:hanging="360"/>
      </w:pPr>
      <w:rPr>
        <w:rFonts w:ascii="Arial" w:hAnsi="Arial" w:hint="default"/>
      </w:rPr>
    </w:lvl>
    <w:lvl w:ilvl="7" w:tplc="98AC8242" w:tentative="1">
      <w:start w:val="1"/>
      <w:numFmt w:val="bullet"/>
      <w:lvlText w:val="•"/>
      <w:lvlJc w:val="left"/>
      <w:pPr>
        <w:tabs>
          <w:tab w:val="num" w:pos="5760"/>
        </w:tabs>
        <w:ind w:left="5760" w:hanging="360"/>
      </w:pPr>
      <w:rPr>
        <w:rFonts w:ascii="Arial" w:hAnsi="Arial" w:hint="default"/>
      </w:rPr>
    </w:lvl>
    <w:lvl w:ilvl="8" w:tplc="C1AED3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297500"/>
    <w:multiLevelType w:val="hybridMultilevel"/>
    <w:tmpl w:val="A7ACF96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6"/>
  </w:num>
  <w:num w:numId="3">
    <w:abstractNumId w:val="2"/>
  </w:num>
  <w:num w:numId="4">
    <w:abstractNumId w:val="4"/>
  </w:num>
  <w:num w:numId="5">
    <w:abstractNumId w:val="1"/>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82"/>
    <w:rsid w:val="00054857"/>
    <w:rsid w:val="00063CB2"/>
    <w:rsid w:val="00084106"/>
    <w:rsid w:val="000C41C4"/>
    <w:rsid w:val="00153DC5"/>
    <w:rsid w:val="0015711A"/>
    <w:rsid w:val="00166908"/>
    <w:rsid w:val="00171095"/>
    <w:rsid w:val="0017630B"/>
    <w:rsid w:val="001A06B1"/>
    <w:rsid w:val="001A0DC9"/>
    <w:rsid w:val="001D6DBF"/>
    <w:rsid w:val="00247903"/>
    <w:rsid w:val="00247E57"/>
    <w:rsid w:val="003C3EFC"/>
    <w:rsid w:val="003E13D7"/>
    <w:rsid w:val="004A08FC"/>
    <w:rsid w:val="004C080A"/>
    <w:rsid w:val="004C7855"/>
    <w:rsid w:val="004F44BB"/>
    <w:rsid w:val="005960C9"/>
    <w:rsid w:val="005D6B7F"/>
    <w:rsid w:val="00605FC3"/>
    <w:rsid w:val="0063518D"/>
    <w:rsid w:val="00636113"/>
    <w:rsid w:val="00657748"/>
    <w:rsid w:val="006A27F0"/>
    <w:rsid w:val="007766F1"/>
    <w:rsid w:val="007B4D94"/>
    <w:rsid w:val="0081375C"/>
    <w:rsid w:val="00860908"/>
    <w:rsid w:val="00866785"/>
    <w:rsid w:val="00935682"/>
    <w:rsid w:val="009D0686"/>
    <w:rsid w:val="00A20BE3"/>
    <w:rsid w:val="00A542FF"/>
    <w:rsid w:val="00A76968"/>
    <w:rsid w:val="00B26643"/>
    <w:rsid w:val="00B71581"/>
    <w:rsid w:val="00B75C81"/>
    <w:rsid w:val="00BE4DCC"/>
    <w:rsid w:val="00C10C0C"/>
    <w:rsid w:val="00C4068E"/>
    <w:rsid w:val="00C84959"/>
    <w:rsid w:val="00CA4CA6"/>
    <w:rsid w:val="00D2703B"/>
    <w:rsid w:val="00E2485C"/>
    <w:rsid w:val="00E575A4"/>
    <w:rsid w:val="00E62A02"/>
    <w:rsid w:val="00E71026"/>
    <w:rsid w:val="00E86D32"/>
    <w:rsid w:val="00EE4A50"/>
    <w:rsid w:val="00EF5B90"/>
    <w:rsid w:val="00F47726"/>
    <w:rsid w:val="00FA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A579"/>
  <w15:docId w15:val="{741654C1-0177-4143-B940-8397DA0D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857"/>
    <w:pPr>
      <w:spacing w:after="0" w:line="240" w:lineRule="auto"/>
    </w:pPr>
    <w:rPr>
      <w:rFonts w:ascii="Times New Roman" w:hAnsi="Times New Roman"/>
      <w:sz w:val="24"/>
    </w:rPr>
  </w:style>
  <w:style w:type="paragraph" w:styleId="Subtitle">
    <w:name w:val="Subtitle"/>
    <w:aliases w:val="Courier"/>
    <w:basedOn w:val="NoSpacing"/>
    <w:next w:val="NoSpacing"/>
    <w:link w:val="SubtitleChar"/>
    <w:uiPriority w:val="11"/>
    <w:qFormat/>
    <w:rsid w:val="00860908"/>
    <w:pPr>
      <w:numPr>
        <w:ilvl w:val="1"/>
      </w:numPr>
    </w:pPr>
    <w:rPr>
      <w:rFonts w:ascii="Courier New" w:eastAsiaTheme="majorEastAsia" w:hAnsi="Courier New" w:cstheme="majorBidi"/>
      <w:iCs/>
      <w:spacing w:val="15"/>
      <w:sz w:val="22"/>
      <w:szCs w:val="24"/>
    </w:rPr>
  </w:style>
  <w:style w:type="character" w:customStyle="1" w:styleId="SubtitleChar">
    <w:name w:val="Subtitle Char"/>
    <w:aliases w:val="Courier Char"/>
    <w:basedOn w:val="DefaultParagraphFont"/>
    <w:link w:val="Subtitle"/>
    <w:uiPriority w:val="11"/>
    <w:rsid w:val="00860908"/>
    <w:rPr>
      <w:rFonts w:ascii="Courier New" w:eastAsiaTheme="majorEastAsia" w:hAnsi="Courier New" w:cstheme="majorBidi"/>
      <w:iCs/>
      <w:spacing w:val="15"/>
      <w:szCs w:val="24"/>
    </w:rPr>
  </w:style>
  <w:style w:type="character" w:customStyle="1" w:styleId="apple-converted-space">
    <w:name w:val="apple-converted-space"/>
    <w:basedOn w:val="DefaultParagraphFont"/>
    <w:rsid w:val="0017630B"/>
  </w:style>
  <w:style w:type="paragraph" w:styleId="ListParagraph">
    <w:name w:val="List Paragraph"/>
    <w:basedOn w:val="Normal"/>
    <w:uiPriority w:val="34"/>
    <w:qFormat/>
    <w:rsid w:val="000C41C4"/>
    <w:pPr>
      <w:ind w:left="720"/>
      <w:contextualSpacing/>
    </w:pPr>
  </w:style>
  <w:style w:type="character" w:customStyle="1" w:styleId="apple-style-span">
    <w:name w:val="apple-style-span"/>
    <w:basedOn w:val="DefaultParagraphFont"/>
    <w:rsid w:val="005D6B7F"/>
  </w:style>
  <w:style w:type="character" w:styleId="Emphasis">
    <w:name w:val="Emphasis"/>
    <w:uiPriority w:val="20"/>
    <w:qFormat/>
    <w:rsid w:val="005D6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69801">
      <w:bodyDiv w:val="1"/>
      <w:marLeft w:val="0"/>
      <w:marRight w:val="0"/>
      <w:marTop w:val="0"/>
      <w:marBottom w:val="0"/>
      <w:divBdr>
        <w:top w:val="none" w:sz="0" w:space="0" w:color="auto"/>
        <w:left w:val="none" w:sz="0" w:space="0" w:color="auto"/>
        <w:bottom w:val="none" w:sz="0" w:space="0" w:color="auto"/>
        <w:right w:val="none" w:sz="0" w:space="0" w:color="auto"/>
      </w:divBdr>
      <w:divsChild>
        <w:div w:id="1300529018">
          <w:marLeft w:val="547"/>
          <w:marRight w:val="0"/>
          <w:marTop w:val="154"/>
          <w:marBottom w:val="0"/>
          <w:divBdr>
            <w:top w:val="none" w:sz="0" w:space="0" w:color="auto"/>
            <w:left w:val="none" w:sz="0" w:space="0" w:color="auto"/>
            <w:bottom w:val="none" w:sz="0" w:space="0" w:color="auto"/>
            <w:right w:val="none" w:sz="0" w:space="0" w:color="auto"/>
          </w:divBdr>
        </w:div>
      </w:divsChild>
    </w:div>
    <w:div w:id="1302922526">
      <w:bodyDiv w:val="1"/>
      <w:marLeft w:val="0"/>
      <w:marRight w:val="0"/>
      <w:marTop w:val="0"/>
      <w:marBottom w:val="0"/>
      <w:divBdr>
        <w:top w:val="none" w:sz="0" w:space="0" w:color="auto"/>
        <w:left w:val="none" w:sz="0" w:space="0" w:color="auto"/>
        <w:bottom w:val="none" w:sz="0" w:space="0" w:color="auto"/>
        <w:right w:val="none" w:sz="0" w:space="0" w:color="auto"/>
      </w:divBdr>
      <w:divsChild>
        <w:div w:id="210531759">
          <w:marLeft w:val="547"/>
          <w:marRight w:val="0"/>
          <w:marTop w:val="154"/>
          <w:marBottom w:val="0"/>
          <w:divBdr>
            <w:top w:val="none" w:sz="0" w:space="0" w:color="auto"/>
            <w:left w:val="none" w:sz="0" w:space="0" w:color="auto"/>
            <w:bottom w:val="none" w:sz="0" w:space="0" w:color="auto"/>
            <w:right w:val="none" w:sz="0" w:space="0" w:color="auto"/>
          </w:divBdr>
        </w:div>
        <w:div w:id="396124299">
          <w:marLeft w:val="547"/>
          <w:marRight w:val="0"/>
          <w:marTop w:val="154"/>
          <w:marBottom w:val="0"/>
          <w:divBdr>
            <w:top w:val="none" w:sz="0" w:space="0" w:color="auto"/>
            <w:left w:val="none" w:sz="0" w:space="0" w:color="auto"/>
            <w:bottom w:val="none" w:sz="0" w:space="0" w:color="auto"/>
            <w:right w:val="none" w:sz="0" w:space="0" w:color="auto"/>
          </w:divBdr>
        </w:div>
        <w:div w:id="1463503893">
          <w:marLeft w:val="547"/>
          <w:marRight w:val="0"/>
          <w:marTop w:val="154"/>
          <w:marBottom w:val="0"/>
          <w:divBdr>
            <w:top w:val="none" w:sz="0" w:space="0" w:color="auto"/>
            <w:left w:val="none" w:sz="0" w:space="0" w:color="auto"/>
            <w:bottom w:val="none" w:sz="0" w:space="0" w:color="auto"/>
            <w:right w:val="none" w:sz="0" w:space="0" w:color="auto"/>
          </w:divBdr>
        </w:div>
        <w:div w:id="40987387">
          <w:marLeft w:val="547"/>
          <w:marRight w:val="0"/>
          <w:marTop w:val="154"/>
          <w:marBottom w:val="0"/>
          <w:divBdr>
            <w:top w:val="none" w:sz="0" w:space="0" w:color="auto"/>
            <w:left w:val="none" w:sz="0" w:space="0" w:color="auto"/>
            <w:bottom w:val="none" w:sz="0" w:space="0" w:color="auto"/>
            <w:right w:val="none" w:sz="0" w:space="0" w:color="auto"/>
          </w:divBdr>
        </w:div>
        <w:div w:id="1108040532">
          <w:marLeft w:val="547"/>
          <w:marRight w:val="0"/>
          <w:marTop w:val="154"/>
          <w:marBottom w:val="0"/>
          <w:divBdr>
            <w:top w:val="none" w:sz="0" w:space="0" w:color="auto"/>
            <w:left w:val="none" w:sz="0" w:space="0" w:color="auto"/>
            <w:bottom w:val="none" w:sz="0" w:space="0" w:color="auto"/>
            <w:right w:val="none" w:sz="0" w:space="0" w:color="auto"/>
          </w:divBdr>
        </w:div>
      </w:divsChild>
    </w:div>
    <w:div w:id="1718890127">
      <w:bodyDiv w:val="1"/>
      <w:marLeft w:val="0"/>
      <w:marRight w:val="0"/>
      <w:marTop w:val="0"/>
      <w:marBottom w:val="0"/>
      <w:divBdr>
        <w:top w:val="none" w:sz="0" w:space="0" w:color="auto"/>
        <w:left w:val="none" w:sz="0" w:space="0" w:color="auto"/>
        <w:bottom w:val="none" w:sz="0" w:space="0" w:color="auto"/>
        <w:right w:val="none" w:sz="0" w:space="0" w:color="auto"/>
      </w:divBdr>
      <w:divsChild>
        <w:div w:id="1954363101">
          <w:marLeft w:val="547"/>
          <w:marRight w:val="0"/>
          <w:marTop w:val="154"/>
          <w:marBottom w:val="0"/>
          <w:divBdr>
            <w:top w:val="none" w:sz="0" w:space="0" w:color="auto"/>
            <w:left w:val="none" w:sz="0" w:space="0" w:color="auto"/>
            <w:bottom w:val="none" w:sz="0" w:space="0" w:color="auto"/>
            <w:right w:val="none" w:sz="0" w:space="0" w:color="auto"/>
          </w:divBdr>
        </w:div>
        <w:div w:id="214853013">
          <w:marLeft w:val="547"/>
          <w:marRight w:val="0"/>
          <w:marTop w:val="154"/>
          <w:marBottom w:val="0"/>
          <w:divBdr>
            <w:top w:val="none" w:sz="0" w:space="0" w:color="auto"/>
            <w:left w:val="none" w:sz="0" w:space="0" w:color="auto"/>
            <w:bottom w:val="none" w:sz="0" w:space="0" w:color="auto"/>
            <w:right w:val="none" w:sz="0" w:space="0" w:color="auto"/>
          </w:divBdr>
        </w:div>
        <w:div w:id="110437733">
          <w:marLeft w:val="547"/>
          <w:marRight w:val="0"/>
          <w:marTop w:val="154"/>
          <w:marBottom w:val="0"/>
          <w:divBdr>
            <w:top w:val="none" w:sz="0" w:space="0" w:color="auto"/>
            <w:left w:val="none" w:sz="0" w:space="0" w:color="auto"/>
            <w:bottom w:val="none" w:sz="0" w:space="0" w:color="auto"/>
            <w:right w:val="none" w:sz="0" w:space="0" w:color="auto"/>
          </w:divBdr>
        </w:div>
        <w:div w:id="630092157">
          <w:marLeft w:val="547"/>
          <w:marRight w:val="0"/>
          <w:marTop w:val="154"/>
          <w:marBottom w:val="0"/>
          <w:divBdr>
            <w:top w:val="none" w:sz="0" w:space="0" w:color="auto"/>
            <w:left w:val="none" w:sz="0" w:space="0" w:color="auto"/>
            <w:bottom w:val="none" w:sz="0" w:space="0" w:color="auto"/>
            <w:right w:val="none" w:sz="0" w:space="0" w:color="auto"/>
          </w:divBdr>
        </w:div>
      </w:divsChild>
    </w:div>
    <w:div w:id="19567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Green, Michael S</cp:lastModifiedBy>
  <cp:revision>2</cp:revision>
  <dcterms:created xsi:type="dcterms:W3CDTF">2018-10-21T00:35:00Z</dcterms:created>
  <dcterms:modified xsi:type="dcterms:W3CDTF">2018-10-21T00:35:00Z</dcterms:modified>
</cp:coreProperties>
</file>