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4DFA8" w14:textId="77777777" w:rsidR="00B33F72" w:rsidRPr="002A72F1" w:rsidRDefault="00B33F72" w:rsidP="000218A5">
      <w:pPr>
        <w:pStyle w:val="ListParagraph"/>
        <w:numPr>
          <w:ilvl w:val="0"/>
          <w:numId w:val="1"/>
        </w:numPr>
        <w:rPr>
          <w:rFonts w:ascii="Times New Roman" w:hAnsi="Times New Roman" w:cs="Times New Roman"/>
        </w:rPr>
      </w:pPr>
      <w:r w:rsidRPr="002A72F1">
        <w:rPr>
          <w:rFonts w:ascii="Times New Roman" w:hAnsi="Times New Roman" w:cs="Times New Roman"/>
        </w:rPr>
        <w:t xml:space="preserve">Did </w:t>
      </w:r>
      <w:proofErr w:type="spellStart"/>
      <w:r w:rsidRPr="002A72F1">
        <w:rPr>
          <w:rFonts w:ascii="Times New Roman" w:hAnsi="Times New Roman" w:cs="Times New Roman"/>
        </w:rPr>
        <w:t>preanswer</w:t>
      </w:r>
      <w:proofErr w:type="spellEnd"/>
      <w:r w:rsidRPr="002A72F1">
        <w:rPr>
          <w:rFonts w:ascii="Times New Roman" w:hAnsi="Times New Roman" w:cs="Times New Roman"/>
        </w:rPr>
        <w:t xml:space="preserve"> motions and waiver of defenses last time</w:t>
      </w:r>
    </w:p>
    <w:p w14:paraId="4D81DA47" w14:textId="422AFF35" w:rsidR="000218A5" w:rsidRPr="002A72F1" w:rsidRDefault="00B33F72" w:rsidP="000218A5">
      <w:pPr>
        <w:pStyle w:val="ListParagraph"/>
        <w:numPr>
          <w:ilvl w:val="0"/>
          <w:numId w:val="1"/>
        </w:numPr>
        <w:rPr>
          <w:rFonts w:ascii="Times New Roman" w:hAnsi="Times New Roman" w:cs="Times New Roman"/>
        </w:rPr>
      </w:pPr>
      <w:r w:rsidRPr="002A72F1">
        <w:rPr>
          <w:rFonts w:ascii="Times New Roman" w:hAnsi="Times New Roman" w:cs="Times New Roman"/>
        </w:rPr>
        <w:t xml:space="preserve">Now – answers </w:t>
      </w:r>
    </w:p>
    <w:p w14:paraId="068D6794" w14:textId="34E04198" w:rsidR="00B33F72" w:rsidRPr="002A72F1" w:rsidRDefault="00B33F72" w:rsidP="000218A5">
      <w:pPr>
        <w:pStyle w:val="ListParagraph"/>
        <w:numPr>
          <w:ilvl w:val="0"/>
          <w:numId w:val="1"/>
        </w:numPr>
        <w:rPr>
          <w:rFonts w:ascii="Times New Roman" w:hAnsi="Times New Roman" w:cs="Times New Roman"/>
        </w:rPr>
      </w:pPr>
      <w:r w:rsidRPr="002A72F1">
        <w:rPr>
          <w:rFonts w:ascii="Times New Roman" w:hAnsi="Times New Roman" w:cs="Times New Roman"/>
        </w:rPr>
        <w:t>Answers justify why the relief requested by the plaintiff is refused</w:t>
      </w:r>
    </w:p>
    <w:p w14:paraId="161814BD" w14:textId="33850235" w:rsidR="00B33F72" w:rsidRPr="002A72F1" w:rsidRDefault="00B33F72" w:rsidP="000218A5">
      <w:pPr>
        <w:pStyle w:val="ListParagraph"/>
        <w:numPr>
          <w:ilvl w:val="0"/>
          <w:numId w:val="1"/>
        </w:numPr>
        <w:rPr>
          <w:rFonts w:ascii="Times New Roman" w:hAnsi="Times New Roman" w:cs="Times New Roman"/>
        </w:rPr>
      </w:pPr>
      <w:r w:rsidRPr="002A72F1">
        <w:rPr>
          <w:rFonts w:ascii="Times New Roman" w:hAnsi="Times New Roman" w:cs="Times New Roman"/>
        </w:rPr>
        <w:t>There are four types of defenses in an answer</w:t>
      </w:r>
    </w:p>
    <w:p w14:paraId="1708F48E" w14:textId="77777777" w:rsidR="00B33F72" w:rsidRPr="002A72F1" w:rsidRDefault="00B33F72" w:rsidP="00B33F72">
      <w:pPr>
        <w:pStyle w:val="ListParagraph"/>
        <w:numPr>
          <w:ilvl w:val="1"/>
          <w:numId w:val="1"/>
        </w:numPr>
        <w:rPr>
          <w:rFonts w:ascii="Times New Roman" w:hAnsi="Times New Roman" w:cs="Times New Roman"/>
        </w:rPr>
      </w:pPr>
      <w:r w:rsidRPr="002A72F1">
        <w:rPr>
          <w:rFonts w:ascii="Times New Roman" w:hAnsi="Times New Roman" w:cs="Times New Roman"/>
        </w:rPr>
        <w:t>PJ, SMJ, venue, service, process</w:t>
      </w:r>
    </w:p>
    <w:p w14:paraId="53D10D8B" w14:textId="4D9AA2E2" w:rsidR="00B33F72" w:rsidRPr="002A72F1" w:rsidRDefault="00B33F72" w:rsidP="00B33F72">
      <w:pPr>
        <w:pStyle w:val="ListParagraph"/>
        <w:numPr>
          <w:ilvl w:val="2"/>
          <w:numId w:val="1"/>
        </w:numPr>
        <w:rPr>
          <w:rFonts w:ascii="Times New Roman" w:hAnsi="Times New Roman" w:cs="Times New Roman"/>
        </w:rPr>
      </w:pPr>
      <w:r w:rsidRPr="002A72F1">
        <w:rPr>
          <w:rFonts w:ascii="Times New Roman" w:hAnsi="Times New Roman" w:cs="Times New Roman"/>
        </w:rPr>
        <w:t xml:space="preserve"> these are the procedural defenses, which could also have been in a pre-answer motion</w:t>
      </w:r>
    </w:p>
    <w:p w14:paraId="69067157" w14:textId="12A50E98" w:rsidR="00B33F72" w:rsidRPr="002A72F1" w:rsidRDefault="00B33F72" w:rsidP="00B33F72">
      <w:pPr>
        <w:pStyle w:val="ListParagraph"/>
        <w:numPr>
          <w:ilvl w:val="2"/>
          <w:numId w:val="1"/>
        </w:numPr>
        <w:rPr>
          <w:rFonts w:ascii="Times New Roman" w:hAnsi="Times New Roman" w:cs="Times New Roman"/>
        </w:rPr>
      </w:pPr>
      <w:r w:rsidRPr="002A72F1">
        <w:rPr>
          <w:rFonts w:ascii="Times New Roman" w:hAnsi="Times New Roman" w:cs="Times New Roman"/>
        </w:rPr>
        <w:t>But they can also be in an answer (to</w:t>
      </w:r>
      <w:r w:rsidR="00F07429" w:rsidRPr="002A72F1">
        <w:rPr>
          <w:rFonts w:ascii="Times New Roman" w:hAnsi="Times New Roman" w:cs="Times New Roman"/>
        </w:rPr>
        <w:t xml:space="preserve"> the extent that they</w:t>
      </w:r>
      <w:r w:rsidRPr="002A72F1">
        <w:rPr>
          <w:rFonts w:ascii="Times New Roman" w:hAnsi="Times New Roman" w:cs="Times New Roman"/>
        </w:rPr>
        <w:t xml:space="preserve"> are not waived)</w:t>
      </w:r>
    </w:p>
    <w:p w14:paraId="3AD58C03" w14:textId="77777777" w:rsidR="00B33F72" w:rsidRPr="002A72F1" w:rsidRDefault="00B33F72" w:rsidP="00B33F72">
      <w:pPr>
        <w:pStyle w:val="ListParagraph"/>
        <w:numPr>
          <w:ilvl w:val="1"/>
          <w:numId w:val="1"/>
        </w:numPr>
        <w:rPr>
          <w:rFonts w:ascii="Times New Roman" w:hAnsi="Times New Roman" w:cs="Times New Roman"/>
        </w:rPr>
      </w:pPr>
      <w:r w:rsidRPr="002A72F1">
        <w:rPr>
          <w:rFonts w:ascii="Times New Roman" w:hAnsi="Times New Roman" w:cs="Times New Roman"/>
        </w:rPr>
        <w:t>failure to state a claim</w:t>
      </w:r>
    </w:p>
    <w:p w14:paraId="1E6B6DBA" w14:textId="6176158C" w:rsidR="00B33F72" w:rsidRPr="002A72F1" w:rsidRDefault="00B33F72" w:rsidP="00B33F72">
      <w:pPr>
        <w:pStyle w:val="ListParagraph"/>
        <w:numPr>
          <w:ilvl w:val="2"/>
          <w:numId w:val="1"/>
        </w:numPr>
        <w:rPr>
          <w:rFonts w:ascii="Times New Roman" w:hAnsi="Times New Roman" w:cs="Times New Roman"/>
        </w:rPr>
      </w:pPr>
      <w:proofErr w:type="gramStart"/>
      <w:r w:rsidRPr="002A72F1">
        <w:rPr>
          <w:rFonts w:ascii="Times New Roman" w:hAnsi="Times New Roman" w:cs="Times New Roman"/>
        </w:rPr>
        <w:t>also</w:t>
      </w:r>
      <w:proofErr w:type="gramEnd"/>
      <w:r w:rsidRPr="002A72F1">
        <w:rPr>
          <w:rFonts w:ascii="Times New Roman" w:hAnsi="Times New Roman" w:cs="Times New Roman"/>
        </w:rPr>
        <w:t xml:space="preserve"> could be put in a </w:t>
      </w:r>
      <w:proofErr w:type="spellStart"/>
      <w:r w:rsidRPr="002A72F1">
        <w:rPr>
          <w:rFonts w:ascii="Times New Roman" w:hAnsi="Times New Roman" w:cs="Times New Roman"/>
        </w:rPr>
        <w:t>preanswer</w:t>
      </w:r>
      <w:proofErr w:type="spellEnd"/>
      <w:r w:rsidRPr="002A72F1">
        <w:rPr>
          <w:rFonts w:ascii="Times New Roman" w:hAnsi="Times New Roman" w:cs="Times New Roman"/>
        </w:rPr>
        <w:t xml:space="preserve"> motion</w:t>
      </w:r>
    </w:p>
    <w:p w14:paraId="2B12883D" w14:textId="77777777" w:rsidR="00B33F72" w:rsidRPr="002A72F1" w:rsidRDefault="00B33F72" w:rsidP="00B33F72">
      <w:pPr>
        <w:pStyle w:val="ListParagraph"/>
        <w:numPr>
          <w:ilvl w:val="2"/>
          <w:numId w:val="1"/>
        </w:numPr>
        <w:rPr>
          <w:rFonts w:ascii="Times New Roman" w:hAnsi="Times New Roman" w:cs="Times New Roman"/>
        </w:rPr>
      </w:pPr>
      <w:r w:rsidRPr="002A72F1">
        <w:rPr>
          <w:rFonts w:ascii="Times New Roman" w:hAnsi="Times New Roman" w:cs="Times New Roman"/>
        </w:rPr>
        <w:t>claims that even if everything the P alleges is true it does not add up to a legal ground for relief</w:t>
      </w:r>
    </w:p>
    <w:p w14:paraId="18D59041" w14:textId="77777777" w:rsidR="00B33F72" w:rsidRPr="002A72F1" w:rsidRDefault="00B33F72" w:rsidP="00B33F72">
      <w:pPr>
        <w:pStyle w:val="ListParagraph"/>
        <w:numPr>
          <w:ilvl w:val="1"/>
          <w:numId w:val="1"/>
        </w:numPr>
        <w:rPr>
          <w:rFonts w:ascii="Times New Roman" w:hAnsi="Times New Roman" w:cs="Times New Roman"/>
        </w:rPr>
      </w:pPr>
      <w:r w:rsidRPr="002A72F1">
        <w:rPr>
          <w:rFonts w:ascii="Times New Roman" w:hAnsi="Times New Roman" w:cs="Times New Roman"/>
        </w:rPr>
        <w:t>negative defenses</w:t>
      </w:r>
    </w:p>
    <w:p w14:paraId="45D97866" w14:textId="77777777" w:rsidR="00B33F72" w:rsidRPr="002A72F1" w:rsidRDefault="00B33F72" w:rsidP="00B33F72">
      <w:pPr>
        <w:pStyle w:val="ListParagraph"/>
        <w:numPr>
          <w:ilvl w:val="2"/>
          <w:numId w:val="1"/>
        </w:numPr>
        <w:rPr>
          <w:rFonts w:ascii="Times New Roman" w:hAnsi="Times New Roman" w:cs="Times New Roman"/>
        </w:rPr>
      </w:pPr>
      <w:r w:rsidRPr="002A72F1">
        <w:rPr>
          <w:rFonts w:ascii="Times New Roman" w:hAnsi="Times New Roman" w:cs="Times New Roman"/>
        </w:rPr>
        <w:t>the answer denies one of the factual allegations in the plaintiff’s complaint that is essential for the plaintiff stating a claim</w:t>
      </w:r>
    </w:p>
    <w:p w14:paraId="349537DD" w14:textId="48DE948D" w:rsidR="00B33F72" w:rsidRPr="002A72F1" w:rsidRDefault="00B33F72" w:rsidP="00B33F72">
      <w:pPr>
        <w:pStyle w:val="ListParagraph"/>
        <w:numPr>
          <w:ilvl w:val="3"/>
          <w:numId w:val="1"/>
        </w:numPr>
        <w:rPr>
          <w:rFonts w:ascii="Times New Roman" w:hAnsi="Times New Roman" w:cs="Times New Roman"/>
        </w:rPr>
      </w:pPr>
      <w:proofErr w:type="spellStart"/>
      <w:r w:rsidRPr="002A72F1">
        <w:rPr>
          <w:rFonts w:ascii="Times New Roman" w:hAnsi="Times New Roman" w:cs="Times New Roman"/>
        </w:rPr>
        <w:t>eg</w:t>
      </w:r>
      <w:proofErr w:type="spellEnd"/>
      <w:r w:rsidRPr="002A72F1">
        <w:rPr>
          <w:rFonts w:ascii="Times New Roman" w:hAnsi="Times New Roman" w:cs="Times New Roman"/>
        </w:rPr>
        <w:t xml:space="preserve"> D </w:t>
      </w:r>
      <w:r w:rsidR="00F07429" w:rsidRPr="002A72F1">
        <w:rPr>
          <w:rFonts w:ascii="Times New Roman" w:hAnsi="Times New Roman" w:cs="Times New Roman"/>
        </w:rPr>
        <w:t>denies</w:t>
      </w:r>
      <w:r w:rsidRPr="002A72F1">
        <w:rPr>
          <w:rFonts w:ascii="Times New Roman" w:hAnsi="Times New Roman" w:cs="Times New Roman"/>
        </w:rPr>
        <w:t xml:space="preserve"> he was negligent</w:t>
      </w:r>
    </w:p>
    <w:p w14:paraId="5F574F2B" w14:textId="4A4C394E" w:rsidR="00B33F72" w:rsidRPr="002A72F1" w:rsidRDefault="00B33F72" w:rsidP="00B33F72">
      <w:pPr>
        <w:pStyle w:val="ListParagraph"/>
        <w:numPr>
          <w:ilvl w:val="1"/>
          <w:numId w:val="1"/>
        </w:numPr>
        <w:rPr>
          <w:rFonts w:ascii="Times New Roman" w:hAnsi="Times New Roman" w:cs="Times New Roman"/>
        </w:rPr>
      </w:pPr>
      <w:r w:rsidRPr="002A72F1">
        <w:rPr>
          <w:rFonts w:ascii="Times New Roman" w:hAnsi="Times New Roman" w:cs="Times New Roman"/>
        </w:rPr>
        <w:t>affirmative defenses</w:t>
      </w:r>
    </w:p>
    <w:p w14:paraId="693F39B4" w14:textId="6BCAF85D" w:rsidR="00B33F72" w:rsidRPr="002A72F1" w:rsidRDefault="00B33F72" w:rsidP="00B33F72">
      <w:pPr>
        <w:pStyle w:val="ListParagraph"/>
        <w:numPr>
          <w:ilvl w:val="2"/>
          <w:numId w:val="1"/>
        </w:numPr>
        <w:rPr>
          <w:rFonts w:ascii="Times New Roman" w:hAnsi="Times New Roman" w:cs="Times New Roman"/>
        </w:rPr>
      </w:pPr>
      <w:r w:rsidRPr="002A72F1">
        <w:rPr>
          <w:rFonts w:ascii="Times New Roman" w:hAnsi="Times New Roman" w:cs="Times New Roman"/>
        </w:rPr>
        <w:t>defenses where the D must plead and prove his own factual allegations</w:t>
      </w:r>
    </w:p>
    <w:p w14:paraId="222C7450" w14:textId="77777777" w:rsidR="00FB4179" w:rsidRPr="002A72F1" w:rsidRDefault="00B33F72" w:rsidP="00FB4179">
      <w:pPr>
        <w:pStyle w:val="ListParagraph"/>
        <w:numPr>
          <w:ilvl w:val="2"/>
          <w:numId w:val="1"/>
        </w:numPr>
        <w:rPr>
          <w:rFonts w:ascii="Times New Roman" w:hAnsi="Times New Roman" w:cs="Times New Roman"/>
        </w:rPr>
      </w:pPr>
      <w:r w:rsidRPr="002A72F1">
        <w:rPr>
          <w:rFonts w:ascii="Times New Roman" w:hAnsi="Times New Roman" w:cs="Times New Roman"/>
        </w:rPr>
        <w:t>affirmative defenses defeat liability ev</w:t>
      </w:r>
      <w:r w:rsidR="00BF0A00" w:rsidRPr="002A72F1">
        <w:rPr>
          <w:rFonts w:ascii="Times New Roman" w:hAnsi="Times New Roman" w:cs="Times New Roman"/>
        </w:rPr>
        <w:t>en if the P’s factual allegations states a claim and the P proves all his factual allegations</w:t>
      </w:r>
    </w:p>
    <w:p w14:paraId="1DF5C4FC" w14:textId="77777777" w:rsidR="00F07429" w:rsidRPr="002A72F1" w:rsidRDefault="00FB4179" w:rsidP="00FB4179">
      <w:pPr>
        <w:pStyle w:val="ListParagraph"/>
        <w:numPr>
          <w:ilvl w:val="2"/>
          <w:numId w:val="1"/>
        </w:numPr>
        <w:rPr>
          <w:rFonts w:ascii="Times New Roman" w:hAnsi="Times New Roman" w:cs="Times New Roman"/>
        </w:rPr>
      </w:pPr>
      <w:r w:rsidRPr="002A72F1">
        <w:rPr>
          <w:rFonts w:ascii="Times New Roman" w:hAnsi="Times New Roman" w:cs="Times New Roman"/>
        </w:rPr>
        <w:t xml:space="preserve">Examples of this would be claim preclusion or statute of limitations. There are also affirmative defenses tied to particular causes of actions. </w:t>
      </w:r>
    </w:p>
    <w:p w14:paraId="76A21F1E" w14:textId="7892B044" w:rsidR="00FB4179" w:rsidRPr="002A72F1" w:rsidRDefault="00FB4179" w:rsidP="00FB4179">
      <w:pPr>
        <w:pStyle w:val="ListParagraph"/>
        <w:numPr>
          <w:ilvl w:val="2"/>
          <w:numId w:val="1"/>
        </w:numPr>
        <w:rPr>
          <w:rFonts w:ascii="Times New Roman" w:hAnsi="Times New Roman" w:cs="Times New Roman"/>
        </w:rPr>
      </w:pPr>
      <w:r w:rsidRPr="002A72F1">
        <w:rPr>
          <w:rFonts w:ascii="Times New Roman" w:hAnsi="Times New Roman" w:cs="Times New Roman"/>
          <w:b/>
        </w:rPr>
        <w:t xml:space="preserve">Rule 8(c) </w:t>
      </w:r>
      <w:r w:rsidRPr="002A72F1">
        <w:rPr>
          <w:rFonts w:ascii="Times New Roman" w:hAnsi="Times New Roman" w:cs="Times New Roman"/>
        </w:rPr>
        <w:t>lists some:</w:t>
      </w:r>
      <w:r w:rsidRPr="002A72F1">
        <w:rPr>
          <w:rFonts w:ascii="Times New Roman" w:eastAsia="Times New Roman" w:hAnsi="Times New Roman" w:cs="Times New Roman"/>
          <w:color w:val="000000"/>
          <w:lang w:eastAsia="zh-CN"/>
        </w:rPr>
        <w:br/>
        <w:t>        • accord and satisfaction;</w:t>
      </w:r>
      <w:r w:rsidRPr="002A72F1">
        <w:rPr>
          <w:rFonts w:ascii="Times New Roman" w:eastAsia="Times New Roman" w:hAnsi="Times New Roman" w:cs="Times New Roman"/>
          <w:color w:val="000000"/>
          <w:lang w:eastAsia="zh-CN"/>
        </w:rPr>
        <w:br/>
        <w:t>        • arbitration and award;</w:t>
      </w:r>
      <w:r w:rsidRPr="002A72F1">
        <w:rPr>
          <w:rFonts w:ascii="Times New Roman" w:eastAsia="Times New Roman" w:hAnsi="Times New Roman" w:cs="Times New Roman"/>
          <w:color w:val="000000"/>
          <w:lang w:eastAsia="zh-CN"/>
        </w:rPr>
        <w:br/>
        <w:t>        • assumption of risk;</w:t>
      </w:r>
      <w:r w:rsidRPr="002A72F1">
        <w:rPr>
          <w:rFonts w:ascii="Times New Roman" w:eastAsia="Times New Roman" w:hAnsi="Times New Roman" w:cs="Times New Roman"/>
          <w:color w:val="000000"/>
          <w:lang w:eastAsia="zh-CN"/>
        </w:rPr>
        <w:br/>
        <w:t>        • contributory negligence;</w:t>
      </w:r>
      <w:r w:rsidRPr="002A72F1">
        <w:rPr>
          <w:rFonts w:ascii="Times New Roman" w:eastAsia="Times New Roman" w:hAnsi="Times New Roman" w:cs="Times New Roman"/>
          <w:color w:val="000000"/>
          <w:lang w:eastAsia="zh-CN"/>
        </w:rPr>
        <w:br/>
        <w:t>        • duress;</w:t>
      </w:r>
      <w:r w:rsidRPr="002A72F1">
        <w:rPr>
          <w:rFonts w:ascii="Times New Roman" w:eastAsia="Times New Roman" w:hAnsi="Times New Roman" w:cs="Times New Roman"/>
          <w:color w:val="000000"/>
          <w:lang w:eastAsia="zh-CN"/>
        </w:rPr>
        <w:br/>
        <w:t>        • estoppel;</w:t>
      </w:r>
      <w:r w:rsidRPr="002A72F1">
        <w:rPr>
          <w:rFonts w:ascii="Times New Roman" w:eastAsia="Times New Roman" w:hAnsi="Times New Roman" w:cs="Times New Roman"/>
          <w:color w:val="000000"/>
          <w:lang w:eastAsia="zh-CN"/>
        </w:rPr>
        <w:br/>
        <w:t>        • failure of consideration;</w:t>
      </w:r>
      <w:r w:rsidRPr="002A72F1">
        <w:rPr>
          <w:rFonts w:ascii="Times New Roman" w:eastAsia="Times New Roman" w:hAnsi="Times New Roman" w:cs="Times New Roman"/>
          <w:color w:val="000000"/>
          <w:lang w:eastAsia="zh-CN"/>
        </w:rPr>
        <w:br/>
        <w:t>        • fraud;</w:t>
      </w:r>
      <w:r w:rsidRPr="002A72F1">
        <w:rPr>
          <w:rFonts w:ascii="Times New Roman" w:eastAsia="Times New Roman" w:hAnsi="Times New Roman" w:cs="Times New Roman"/>
          <w:color w:val="000000"/>
          <w:lang w:eastAsia="zh-CN"/>
        </w:rPr>
        <w:br/>
        <w:t>        • illegality;</w:t>
      </w:r>
      <w:r w:rsidRPr="002A72F1">
        <w:rPr>
          <w:rFonts w:ascii="Times New Roman" w:eastAsia="Times New Roman" w:hAnsi="Times New Roman" w:cs="Times New Roman"/>
          <w:color w:val="000000"/>
          <w:lang w:eastAsia="zh-CN"/>
        </w:rPr>
        <w:br/>
        <w:t>        • injury by fellow servant;</w:t>
      </w:r>
      <w:r w:rsidRPr="002A72F1">
        <w:rPr>
          <w:rFonts w:ascii="Times New Roman" w:eastAsia="Times New Roman" w:hAnsi="Times New Roman" w:cs="Times New Roman"/>
          <w:color w:val="000000"/>
          <w:lang w:eastAsia="zh-CN"/>
        </w:rPr>
        <w:br/>
        <w:t>        • laches;</w:t>
      </w:r>
      <w:r w:rsidRPr="002A72F1">
        <w:rPr>
          <w:rFonts w:ascii="Times New Roman" w:eastAsia="Times New Roman" w:hAnsi="Times New Roman" w:cs="Times New Roman"/>
          <w:color w:val="000000"/>
          <w:lang w:eastAsia="zh-CN"/>
        </w:rPr>
        <w:br/>
        <w:t>        • license;</w:t>
      </w:r>
      <w:r w:rsidRPr="002A72F1">
        <w:rPr>
          <w:rFonts w:ascii="Times New Roman" w:eastAsia="Times New Roman" w:hAnsi="Times New Roman" w:cs="Times New Roman"/>
          <w:color w:val="000000"/>
          <w:lang w:eastAsia="zh-CN"/>
        </w:rPr>
        <w:br/>
        <w:t>        • payment;</w:t>
      </w:r>
      <w:r w:rsidRPr="002A72F1">
        <w:rPr>
          <w:rFonts w:ascii="Times New Roman" w:eastAsia="Times New Roman" w:hAnsi="Times New Roman" w:cs="Times New Roman"/>
          <w:color w:val="000000"/>
          <w:lang w:eastAsia="zh-CN"/>
        </w:rPr>
        <w:br/>
        <w:t>        • release;</w:t>
      </w:r>
      <w:r w:rsidRPr="002A72F1">
        <w:rPr>
          <w:rFonts w:ascii="Times New Roman" w:eastAsia="Times New Roman" w:hAnsi="Times New Roman" w:cs="Times New Roman"/>
          <w:color w:val="000000"/>
          <w:lang w:eastAsia="zh-CN"/>
        </w:rPr>
        <w:br/>
        <w:t>        • res judicata;</w:t>
      </w:r>
      <w:r w:rsidRPr="002A72F1">
        <w:rPr>
          <w:rFonts w:ascii="Times New Roman" w:eastAsia="Times New Roman" w:hAnsi="Times New Roman" w:cs="Times New Roman"/>
          <w:color w:val="000000"/>
          <w:lang w:eastAsia="zh-CN"/>
        </w:rPr>
        <w:br/>
        <w:t>        • statute of frauds;</w:t>
      </w:r>
      <w:r w:rsidRPr="002A72F1">
        <w:rPr>
          <w:rFonts w:ascii="Times New Roman" w:eastAsia="Times New Roman" w:hAnsi="Times New Roman" w:cs="Times New Roman"/>
          <w:color w:val="000000"/>
          <w:lang w:eastAsia="zh-CN"/>
        </w:rPr>
        <w:br/>
        <w:t>        • statute of limitations; and</w:t>
      </w:r>
      <w:r w:rsidRPr="002A72F1">
        <w:rPr>
          <w:rFonts w:ascii="Times New Roman" w:eastAsia="Times New Roman" w:hAnsi="Times New Roman" w:cs="Times New Roman"/>
          <w:color w:val="000000"/>
          <w:lang w:eastAsia="zh-CN"/>
        </w:rPr>
        <w:br/>
        <w:t>        • waiver.</w:t>
      </w:r>
    </w:p>
    <w:p w14:paraId="0E772E8D" w14:textId="4FEA56DD" w:rsidR="00FB4179" w:rsidRPr="002A72F1" w:rsidRDefault="00FB4179" w:rsidP="00FB4179">
      <w:pPr>
        <w:pStyle w:val="ListParagraph"/>
        <w:numPr>
          <w:ilvl w:val="2"/>
          <w:numId w:val="1"/>
        </w:numPr>
        <w:rPr>
          <w:rFonts w:ascii="Times New Roman" w:hAnsi="Times New Roman" w:cs="Times New Roman"/>
        </w:rPr>
      </w:pPr>
      <w:r w:rsidRPr="002A72F1">
        <w:rPr>
          <w:rFonts w:ascii="Times New Roman" w:eastAsia="Times New Roman" w:hAnsi="Times New Roman" w:cs="Times New Roman"/>
          <w:color w:val="000000"/>
          <w:lang w:eastAsia="zh-CN"/>
        </w:rPr>
        <w:t xml:space="preserve">Green: notice that this is just a procedural rule that lists some possible affirmative defenses. </w:t>
      </w:r>
      <w:r w:rsidR="00957E87" w:rsidRPr="002A72F1">
        <w:rPr>
          <w:rFonts w:ascii="Times New Roman" w:eastAsia="Times New Roman" w:hAnsi="Times New Roman" w:cs="Times New Roman"/>
          <w:color w:val="000000"/>
          <w:lang w:eastAsia="zh-CN"/>
        </w:rPr>
        <w:t>Whether</w:t>
      </w:r>
      <w:r w:rsidRPr="002A72F1">
        <w:rPr>
          <w:rFonts w:ascii="Times New Roman" w:eastAsia="Times New Roman" w:hAnsi="Times New Roman" w:cs="Times New Roman"/>
          <w:color w:val="000000"/>
          <w:lang w:eastAsia="zh-CN"/>
        </w:rPr>
        <w:t xml:space="preserve"> they are actually available depends upon the relevant substantive law</w:t>
      </w:r>
    </w:p>
    <w:p w14:paraId="6F88C43E" w14:textId="5005D651" w:rsidR="000A4B35" w:rsidRPr="002A72F1" w:rsidRDefault="000A4B35" w:rsidP="00F07429">
      <w:pPr>
        <w:pStyle w:val="ListParagraph"/>
        <w:numPr>
          <w:ilvl w:val="3"/>
          <w:numId w:val="1"/>
        </w:numPr>
        <w:rPr>
          <w:rFonts w:ascii="Times New Roman" w:hAnsi="Times New Roman" w:cs="Times New Roman"/>
        </w:rPr>
      </w:pPr>
      <w:r w:rsidRPr="002A72F1">
        <w:rPr>
          <w:rFonts w:ascii="Times New Roman" w:hAnsi="Times New Roman" w:cs="Times New Roman"/>
        </w:rPr>
        <w:t>P (NY) sues D (Ill) in federal court in Illinois under Illinois negligence law</w:t>
      </w:r>
      <w:r w:rsidRPr="002A72F1">
        <w:rPr>
          <w:rFonts w:ascii="Times New Roman" w:hAnsi="Times New Roman" w:cs="Times New Roman"/>
        </w:rPr>
        <w:br/>
      </w:r>
      <w:r w:rsidRPr="002A72F1">
        <w:rPr>
          <w:rFonts w:ascii="Times New Roman" w:hAnsi="Times New Roman" w:cs="Times New Roman"/>
        </w:rPr>
        <w:lastRenderedPageBreak/>
        <w:br/>
        <w:t>under Illinois negligence law, the plaintiff must plead</w:t>
      </w:r>
      <w:r w:rsidR="00957E87" w:rsidRPr="002A72F1">
        <w:rPr>
          <w:rFonts w:ascii="Times New Roman" w:hAnsi="Times New Roman" w:cs="Times New Roman"/>
        </w:rPr>
        <w:t xml:space="preserve"> and prove</w:t>
      </w:r>
      <w:r w:rsidRPr="002A72F1">
        <w:rPr>
          <w:rFonts w:ascii="Times New Roman" w:hAnsi="Times New Roman" w:cs="Times New Roman"/>
        </w:rPr>
        <w:t xml:space="preserve"> his own lack of contributory negligence in order to state a claim</w:t>
      </w:r>
      <w:r w:rsidRPr="002A72F1">
        <w:rPr>
          <w:rFonts w:ascii="Times New Roman" w:hAnsi="Times New Roman" w:cs="Times New Roman"/>
        </w:rPr>
        <w:br/>
      </w:r>
      <w:r w:rsidRPr="002A72F1">
        <w:rPr>
          <w:rFonts w:ascii="Times New Roman" w:hAnsi="Times New Roman" w:cs="Times New Roman"/>
        </w:rPr>
        <w:br/>
        <w:t>does FRCP 8(c) make a difference to that?</w:t>
      </w:r>
    </w:p>
    <w:p w14:paraId="2E810DCD" w14:textId="77777777" w:rsidR="00F07429" w:rsidRPr="002A72F1" w:rsidRDefault="00F07429" w:rsidP="00F07429">
      <w:pPr>
        <w:pStyle w:val="ListParagraph"/>
        <w:ind w:left="2880"/>
        <w:rPr>
          <w:rFonts w:ascii="Times New Roman" w:hAnsi="Times New Roman" w:cs="Times New Roman"/>
        </w:rPr>
      </w:pPr>
    </w:p>
    <w:p w14:paraId="0BCF7EA4" w14:textId="569C3C6D" w:rsidR="000A4B35" w:rsidRPr="002A72F1" w:rsidRDefault="00F07429" w:rsidP="00F07429">
      <w:pPr>
        <w:pStyle w:val="ListParagraph"/>
        <w:numPr>
          <w:ilvl w:val="3"/>
          <w:numId w:val="1"/>
        </w:numPr>
        <w:rPr>
          <w:rFonts w:ascii="Times New Roman" w:hAnsi="Times New Roman" w:cs="Times New Roman"/>
        </w:rPr>
      </w:pPr>
      <w:r w:rsidRPr="002A72F1">
        <w:rPr>
          <w:rFonts w:ascii="Times New Roman" w:hAnsi="Times New Roman" w:cs="Times New Roman"/>
        </w:rPr>
        <w:t xml:space="preserve">Green: </w:t>
      </w:r>
      <w:r w:rsidR="000A4B35" w:rsidRPr="002A72F1">
        <w:rPr>
          <w:rFonts w:ascii="Times New Roman" w:hAnsi="Times New Roman" w:cs="Times New Roman"/>
        </w:rPr>
        <w:t xml:space="preserve">No - at least with respect to who has the burden of proof, </w:t>
      </w:r>
      <w:r w:rsidR="00957E87" w:rsidRPr="002A72F1">
        <w:rPr>
          <w:rFonts w:ascii="Times New Roman" w:hAnsi="Times New Roman" w:cs="Times New Roman"/>
        </w:rPr>
        <w:t>Illinois law must be followed in federal court – P must prove his own lack contributory negligence – Green thinks that even concerning pleading, 8(c) shouldn’t make a difference</w:t>
      </w:r>
    </w:p>
    <w:p w14:paraId="6274A18D" w14:textId="77777777" w:rsidR="00957E87" w:rsidRPr="002A72F1" w:rsidRDefault="00957E87" w:rsidP="00957E87">
      <w:pPr>
        <w:pStyle w:val="ListParagraph"/>
        <w:ind w:left="2160"/>
        <w:rPr>
          <w:rFonts w:ascii="Times New Roman" w:hAnsi="Times New Roman" w:cs="Times New Roman"/>
        </w:rPr>
      </w:pPr>
    </w:p>
    <w:p w14:paraId="07E46702" w14:textId="5E5E893F" w:rsidR="00EE08FC" w:rsidRPr="002A72F1" w:rsidRDefault="00B102B6" w:rsidP="00FB4179">
      <w:pPr>
        <w:pStyle w:val="ListParagraph"/>
        <w:numPr>
          <w:ilvl w:val="0"/>
          <w:numId w:val="1"/>
        </w:numPr>
        <w:rPr>
          <w:rFonts w:ascii="Times New Roman" w:hAnsi="Times New Roman" w:cs="Times New Roman"/>
        </w:rPr>
      </w:pPr>
      <w:r w:rsidRPr="002A72F1">
        <w:rPr>
          <w:rFonts w:ascii="Times New Roman" w:hAnsi="Times New Roman" w:cs="Times New Roman"/>
        </w:rPr>
        <w:t>Counterclaims are not defenses, they are claims for relief by the defendant against the plaintiff.</w:t>
      </w:r>
      <w:r w:rsidR="00BF0A00" w:rsidRPr="002A72F1">
        <w:rPr>
          <w:rFonts w:ascii="Times New Roman" w:hAnsi="Times New Roman" w:cs="Times New Roman"/>
        </w:rPr>
        <w:t xml:space="preserve"> – they can also be added to ans</w:t>
      </w:r>
      <w:r w:rsidR="00FB4179" w:rsidRPr="002A72F1">
        <w:rPr>
          <w:rFonts w:ascii="Times New Roman" w:hAnsi="Times New Roman" w:cs="Times New Roman"/>
        </w:rPr>
        <w:t>wer, but are not grounds for why the D is not liable to the P. They</w:t>
      </w:r>
      <w:r w:rsidR="00BF0A00" w:rsidRPr="002A72F1">
        <w:rPr>
          <w:rFonts w:ascii="Times New Roman" w:hAnsi="Times New Roman" w:cs="Times New Roman"/>
        </w:rPr>
        <w:t xml:space="preserve"> are claims </w:t>
      </w:r>
      <w:r w:rsidR="00FB4179" w:rsidRPr="002A72F1">
        <w:rPr>
          <w:rFonts w:ascii="Times New Roman" w:hAnsi="Times New Roman" w:cs="Times New Roman"/>
        </w:rPr>
        <w:t xml:space="preserve">by the D </w:t>
      </w:r>
      <w:r w:rsidR="00F07429" w:rsidRPr="002A72F1">
        <w:rPr>
          <w:rFonts w:ascii="Times New Roman" w:hAnsi="Times New Roman" w:cs="Times New Roman"/>
        </w:rPr>
        <w:t>that the</w:t>
      </w:r>
      <w:r w:rsidR="00FB4179" w:rsidRPr="002A72F1">
        <w:rPr>
          <w:rFonts w:ascii="Times New Roman" w:hAnsi="Times New Roman" w:cs="Times New Roman"/>
        </w:rPr>
        <w:t xml:space="preserve"> P</w:t>
      </w:r>
      <w:r w:rsidR="00F07429" w:rsidRPr="002A72F1">
        <w:rPr>
          <w:rFonts w:ascii="Times New Roman" w:hAnsi="Times New Roman" w:cs="Times New Roman"/>
        </w:rPr>
        <w:t xml:space="preserve"> is liable to the D</w:t>
      </w:r>
    </w:p>
    <w:p w14:paraId="29B0514F" w14:textId="254DD9FE" w:rsidR="00EF2768" w:rsidRPr="002A72F1" w:rsidRDefault="005F1B25" w:rsidP="00EE08FC">
      <w:pPr>
        <w:pStyle w:val="ListParagraph"/>
        <w:numPr>
          <w:ilvl w:val="0"/>
          <w:numId w:val="1"/>
        </w:numPr>
        <w:rPr>
          <w:rFonts w:ascii="Times New Roman" w:hAnsi="Times New Roman" w:cs="Times New Roman"/>
        </w:rPr>
      </w:pPr>
      <w:r w:rsidRPr="002A72F1">
        <w:rPr>
          <w:rFonts w:ascii="Times New Roman" w:hAnsi="Times New Roman" w:cs="Times New Roman"/>
        </w:rPr>
        <w:t>Affirmative defenses allege new facts.</w:t>
      </w:r>
      <w:r w:rsidR="00EF2768" w:rsidRPr="002A72F1">
        <w:rPr>
          <w:rFonts w:ascii="Times New Roman" w:hAnsi="Times New Roman" w:cs="Times New Roman"/>
        </w:rPr>
        <w:t xml:space="preserve"> The pl</w:t>
      </w:r>
      <w:r w:rsidR="00FB4179" w:rsidRPr="002A72F1">
        <w:rPr>
          <w:rFonts w:ascii="Times New Roman" w:hAnsi="Times New Roman" w:cs="Times New Roman"/>
        </w:rPr>
        <w:t xml:space="preserve">eading standard </w:t>
      </w:r>
      <w:r w:rsidR="00EF2768" w:rsidRPr="002A72F1">
        <w:rPr>
          <w:rFonts w:ascii="Times New Roman" w:hAnsi="Times New Roman" w:cs="Times New Roman"/>
        </w:rPr>
        <w:t>for them is in FRCP 8(b)(1)(A)</w:t>
      </w:r>
    </w:p>
    <w:p w14:paraId="30006E00" w14:textId="77777777" w:rsidR="00EF2768" w:rsidRPr="002A72F1" w:rsidRDefault="00EF2768" w:rsidP="00EF2768">
      <w:pPr>
        <w:pStyle w:val="ListParagraph"/>
        <w:numPr>
          <w:ilvl w:val="1"/>
          <w:numId w:val="1"/>
        </w:numPr>
        <w:rPr>
          <w:rFonts w:ascii="Times New Roman" w:hAnsi="Times New Roman" w:cs="Times New Roman"/>
        </w:rPr>
      </w:pPr>
      <w:r w:rsidRPr="002A72F1">
        <w:rPr>
          <w:rFonts w:ascii="Times New Roman" w:hAnsi="Times New Roman" w:cs="Times New Roman"/>
        </w:rPr>
        <w:t>(1) In General. In responding to a pleading, a party must:</w:t>
      </w:r>
      <w:r w:rsidRPr="002A72F1">
        <w:rPr>
          <w:rFonts w:ascii="Times New Roman" w:hAnsi="Times New Roman" w:cs="Times New Roman"/>
        </w:rPr>
        <w:br/>
        <w:t>     </w:t>
      </w:r>
      <w:proofErr w:type="gramStart"/>
      <w:r w:rsidRPr="002A72F1">
        <w:rPr>
          <w:rFonts w:ascii="Times New Roman" w:hAnsi="Times New Roman" w:cs="Times New Roman"/>
        </w:rPr>
        <w:t>   (</w:t>
      </w:r>
      <w:proofErr w:type="gramEnd"/>
      <w:r w:rsidRPr="002A72F1">
        <w:rPr>
          <w:rFonts w:ascii="Times New Roman" w:hAnsi="Times New Roman" w:cs="Times New Roman"/>
        </w:rPr>
        <w:t xml:space="preserve">A) state in short and plain terms its defenses to each claim asserted against it; </w:t>
      </w:r>
    </w:p>
    <w:p w14:paraId="299021FC" w14:textId="587F3004" w:rsidR="005F1B25" w:rsidRPr="002A72F1" w:rsidRDefault="005F1B25" w:rsidP="005F1B25">
      <w:pPr>
        <w:pStyle w:val="ListParagraph"/>
        <w:numPr>
          <w:ilvl w:val="1"/>
          <w:numId w:val="1"/>
        </w:numPr>
        <w:rPr>
          <w:rFonts w:ascii="Times New Roman" w:hAnsi="Times New Roman" w:cs="Times New Roman"/>
        </w:rPr>
      </w:pPr>
      <w:r w:rsidRPr="002A72F1">
        <w:rPr>
          <w:rFonts w:ascii="Times New Roman" w:hAnsi="Times New Roman" w:cs="Times New Roman"/>
        </w:rPr>
        <w:t xml:space="preserve">Most courts think that </w:t>
      </w:r>
      <w:proofErr w:type="spellStart"/>
      <w:r w:rsidRPr="002A72F1">
        <w:rPr>
          <w:rFonts w:ascii="Times New Roman" w:hAnsi="Times New Roman" w:cs="Times New Roman"/>
        </w:rPr>
        <w:t>Twiqbal</w:t>
      </w:r>
      <w:proofErr w:type="spellEnd"/>
      <w:r w:rsidRPr="002A72F1">
        <w:rPr>
          <w:rFonts w:ascii="Times New Roman" w:hAnsi="Times New Roman" w:cs="Times New Roman"/>
        </w:rPr>
        <w:t xml:space="preserve"> doesn’t apply to affirmative defens</w:t>
      </w:r>
      <w:r w:rsidR="00EF2768" w:rsidRPr="002A72F1">
        <w:rPr>
          <w:rFonts w:ascii="Times New Roman" w:hAnsi="Times New Roman" w:cs="Times New Roman"/>
        </w:rPr>
        <w:t>es because the word “showing” is not in 8(b)(1)(A)</w:t>
      </w:r>
    </w:p>
    <w:p w14:paraId="50956061" w14:textId="2BC956B4" w:rsidR="005F1B25" w:rsidRPr="002A72F1" w:rsidRDefault="005F1B25" w:rsidP="005F1B25">
      <w:pPr>
        <w:pStyle w:val="ListParagraph"/>
        <w:numPr>
          <w:ilvl w:val="0"/>
          <w:numId w:val="1"/>
        </w:numPr>
        <w:rPr>
          <w:rFonts w:ascii="Times New Roman" w:hAnsi="Times New Roman" w:cs="Times New Roman"/>
        </w:rPr>
      </w:pPr>
      <w:r w:rsidRPr="002A72F1">
        <w:rPr>
          <w:rFonts w:ascii="Times New Roman" w:hAnsi="Times New Roman" w:cs="Times New Roman"/>
        </w:rPr>
        <w:t>8(c)(2) if a counterclaim is mistakenly presented as a defense, or a defense is mistakenly treated as a counterclaim, the court should treat is as if it were done correctly.</w:t>
      </w:r>
    </w:p>
    <w:p w14:paraId="2261E072" w14:textId="24F1A4B4" w:rsidR="00EF2768" w:rsidRPr="002A72F1" w:rsidRDefault="00EF2768" w:rsidP="00EF2768">
      <w:pPr>
        <w:pStyle w:val="ListParagraph"/>
        <w:numPr>
          <w:ilvl w:val="1"/>
          <w:numId w:val="1"/>
        </w:numPr>
        <w:rPr>
          <w:rFonts w:ascii="Times New Roman" w:hAnsi="Times New Roman" w:cs="Times New Roman"/>
        </w:rPr>
      </w:pPr>
      <w:r w:rsidRPr="002A72F1">
        <w:rPr>
          <w:rFonts w:ascii="Times New Roman" w:hAnsi="Times New Roman" w:cs="Times New Roman"/>
        </w:rPr>
        <w:t>Why might the two be confused?</w:t>
      </w:r>
    </w:p>
    <w:p w14:paraId="5DB286FE" w14:textId="12ADDFA0" w:rsidR="00EF2768" w:rsidRPr="002A72F1" w:rsidRDefault="0072408C" w:rsidP="00EF2768">
      <w:pPr>
        <w:pStyle w:val="ListParagraph"/>
        <w:numPr>
          <w:ilvl w:val="1"/>
          <w:numId w:val="1"/>
        </w:numPr>
        <w:rPr>
          <w:rFonts w:ascii="Times New Roman" w:hAnsi="Times New Roman" w:cs="Times New Roman"/>
        </w:rPr>
      </w:pPr>
      <w:r w:rsidRPr="002A72F1">
        <w:rPr>
          <w:rFonts w:ascii="Times New Roman" w:hAnsi="Times New Roman" w:cs="Times New Roman"/>
        </w:rPr>
        <w:t>The same fact can be the ground of an affirmative defense and a counterclaim</w:t>
      </w:r>
    </w:p>
    <w:p w14:paraId="51E5F637" w14:textId="5F287B60" w:rsidR="0072408C" w:rsidRPr="002A72F1" w:rsidRDefault="0072408C" w:rsidP="00EF2768">
      <w:pPr>
        <w:pStyle w:val="ListParagraph"/>
        <w:numPr>
          <w:ilvl w:val="1"/>
          <w:numId w:val="1"/>
        </w:numPr>
        <w:rPr>
          <w:rFonts w:ascii="Times New Roman" w:hAnsi="Times New Roman" w:cs="Times New Roman"/>
        </w:rPr>
      </w:pPr>
      <w:r w:rsidRPr="002A72F1">
        <w:rPr>
          <w:rFonts w:ascii="Times New Roman" w:hAnsi="Times New Roman" w:cs="Times New Roman"/>
        </w:rPr>
        <w:t>E.g. P sues D for negligence. D denies negligence and alleges that P</w:t>
      </w:r>
      <w:r w:rsidR="00F07429" w:rsidRPr="002A72F1">
        <w:rPr>
          <w:rFonts w:ascii="Times New Roman" w:hAnsi="Times New Roman" w:cs="Times New Roman"/>
        </w:rPr>
        <w:t xml:space="preserve"> was negligent</w:t>
      </w:r>
    </w:p>
    <w:p w14:paraId="5C53B75A" w14:textId="665E7FBD" w:rsidR="0072408C" w:rsidRPr="002A72F1" w:rsidRDefault="0072408C" w:rsidP="0072408C">
      <w:pPr>
        <w:pStyle w:val="ListParagraph"/>
        <w:numPr>
          <w:ilvl w:val="2"/>
          <w:numId w:val="1"/>
        </w:numPr>
        <w:rPr>
          <w:rFonts w:ascii="Times New Roman" w:hAnsi="Times New Roman" w:cs="Times New Roman"/>
        </w:rPr>
      </w:pPr>
      <w:r w:rsidRPr="002A72F1">
        <w:rPr>
          <w:rFonts w:ascii="Times New Roman" w:hAnsi="Times New Roman" w:cs="Times New Roman"/>
        </w:rPr>
        <w:t xml:space="preserve">The allegation that P was negligent is the ground for an affirmative defense (contributory negligence) and the ground for a </w:t>
      </w:r>
      <w:proofErr w:type="gramStart"/>
      <w:r w:rsidR="00D90795" w:rsidRPr="002A72F1">
        <w:rPr>
          <w:rFonts w:ascii="Times New Roman" w:hAnsi="Times New Roman" w:cs="Times New Roman"/>
        </w:rPr>
        <w:t>counterclaim  against</w:t>
      </w:r>
      <w:proofErr w:type="gramEnd"/>
      <w:r w:rsidR="00D90795" w:rsidRPr="002A72F1">
        <w:rPr>
          <w:rFonts w:ascii="Times New Roman" w:hAnsi="Times New Roman" w:cs="Times New Roman"/>
        </w:rPr>
        <w:t xml:space="preserve"> P for the damages P’s negligence caused D.</w:t>
      </w:r>
    </w:p>
    <w:p w14:paraId="0B3384D2"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Rule 11</w:t>
      </w:r>
    </w:p>
    <w:p w14:paraId="527B1413"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 xml:space="preserve">There to keep frivolous pleadings/actions/defenses from proceeding. Frivolous because: legally frivolous (legal arguments are unreasonable), improper motive, or insufficient evidentiary support (most important for us). </w:t>
      </w:r>
      <w:proofErr w:type="spellStart"/>
      <w:r w:rsidRPr="002A72F1">
        <w:rPr>
          <w:rFonts w:ascii="Times New Roman" w:hAnsi="Times New Roman" w:cs="Times New Roman"/>
        </w:rPr>
        <w:t>Twiqbal</w:t>
      </w:r>
      <w:proofErr w:type="spellEnd"/>
      <w:r w:rsidRPr="002A72F1">
        <w:rPr>
          <w:rFonts w:ascii="Times New Roman" w:hAnsi="Times New Roman" w:cs="Times New Roman"/>
        </w:rPr>
        <w:t xml:space="preserve"> has started to weed out that last one during the pleading phase because rule 11 wasn’t doing its job. </w:t>
      </w:r>
      <w:proofErr w:type="spellStart"/>
      <w:r w:rsidRPr="002A72F1">
        <w:rPr>
          <w:rFonts w:ascii="Times New Roman" w:hAnsi="Times New Roman" w:cs="Times New Roman"/>
        </w:rPr>
        <w:t>Twiqbal</w:t>
      </w:r>
      <w:proofErr w:type="spellEnd"/>
      <w:r w:rsidRPr="002A72F1">
        <w:rPr>
          <w:rFonts w:ascii="Times New Roman" w:hAnsi="Times New Roman" w:cs="Times New Roman"/>
        </w:rPr>
        <w:t xml:space="preserve"> sets a threshold before allowing you to proceed, “safer” because it’s not declaring the lawyer did something WRONG. But dangerously looking for the evidentiary support in the allegations. (Best solution would be a preliminary hearing).</w:t>
      </w:r>
    </w:p>
    <w:p w14:paraId="56BE080C" w14:textId="77777777" w:rsidR="002A72F1" w:rsidRPr="002A72F1" w:rsidRDefault="002A72F1" w:rsidP="002A72F1">
      <w:pPr>
        <w:rPr>
          <w:rFonts w:ascii="Times New Roman" w:hAnsi="Times New Roman" w:cs="Times New Roman"/>
        </w:rPr>
      </w:pPr>
      <w:r w:rsidRPr="002A72F1">
        <w:rPr>
          <w:rFonts w:ascii="Times New Roman" w:hAnsi="Times New Roman" w:cs="Times New Roman"/>
        </w:rPr>
        <w:t>Are frivolous actions a problem…?</w:t>
      </w:r>
    </w:p>
    <w:p w14:paraId="5347AAD2" w14:textId="77777777" w:rsidR="002A72F1" w:rsidRPr="002A72F1" w:rsidRDefault="002A72F1" w:rsidP="002A72F1">
      <w:pPr>
        <w:rPr>
          <w:rFonts w:ascii="Times New Roman" w:hAnsi="Times New Roman" w:cs="Times New Roman"/>
        </w:rPr>
      </w:pPr>
      <w:r w:rsidRPr="002A72F1">
        <w:rPr>
          <w:rFonts w:ascii="Times New Roman" w:hAnsi="Times New Roman" w:cs="Times New Roman"/>
        </w:rPr>
        <w:t xml:space="preserve">Congress, American Medical Association would have you think so. But medical malpractice suits and amounts are going down (and not just because of tort reform). </w:t>
      </w:r>
    </w:p>
    <w:p w14:paraId="7F711ACB"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lastRenderedPageBreak/>
        <w:t>Frivolous doesn’t mean it’s going to LOSE. Could be sufficient evidentiary support to go forward, so it’s hard to tell if there actually are many frivolous causes.</w:t>
      </w:r>
    </w:p>
    <w:p w14:paraId="311DDC27"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 xml:space="preserve">Why bring a frivolous case with a very low probability of </w:t>
      </w:r>
      <w:proofErr w:type="gramStart"/>
      <w:r w:rsidRPr="002A72F1">
        <w:rPr>
          <w:rFonts w:ascii="Times New Roman" w:hAnsi="Times New Roman" w:cs="Times New Roman"/>
        </w:rPr>
        <w:t>success.</w:t>
      </w:r>
      <w:proofErr w:type="gramEnd"/>
    </w:p>
    <w:p w14:paraId="73DA2A29" w14:textId="1C3E9D5F"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 xml:space="preserve"> - Lawyer makes money even if it loses? (contingency fee agreements are great for preventing that)</w:t>
      </w:r>
    </w:p>
    <w:p w14:paraId="13904E60"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 xml:space="preserve">-Punish the D (vindictive P) </w:t>
      </w:r>
    </w:p>
    <w:p w14:paraId="221B6682"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-Unmeritorious P mimics legitimate P against D and tries to get settlement</w:t>
      </w:r>
    </w:p>
    <w:p w14:paraId="10385475"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 xml:space="preserve">- Strike suit: brought and settled for less than the cost of litigation to the other side – both sides could know it’s </w:t>
      </w:r>
      <w:proofErr w:type="gramStart"/>
      <w:r w:rsidRPr="002A72F1">
        <w:rPr>
          <w:rFonts w:ascii="Times New Roman" w:hAnsi="Times New Roman" w:cs="Times New Roman"/>
        </w:rPr>
        <w:t>frivolous</w:t>
      </w:r>
      <w:proofErr w:type="gramEnd"/>
      <w:r w:rsidRPr="002A72F1">
        <w:rPr>
          <w:rFonts w:ascii="Times New Roman" w:hAnsi="Times New Roman" w:cs="Times New Roman"/>
        </w:rPr>
        <w:t xml:space="preserve"> but it is cheaper for the D to settle than litigating and winning</w:t>
      </w:r>
    </w:p>
    <w:p w14:paraId="5C0CCE11" w14:textId="292801C1"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 xml:space="preserve"> </w:t>
      </w:r>
    </w:p>
    <w:p w14:paraId="724A398A"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11(a) Signature. Every pleading, written motion, and other paper must be signed by at least one attorney of record in the attorney’s name — or by a party personally if the party is unrepresented. The paper must state the signer’s address, e-mail address, and telephone number. Unless a rule or statute specifically states otherwise, a pleading need not be verified or accompanied by an affidavit. The court must strike an unsigned paper unless the omission is promptly corrected after being called to the attorney’s or party’s attention.</w:t>
      </w:r>
    </w:p>
    <w:p w14:paraId="248E5B65"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Court won’t look at anything without a signature. Be careful what you sign: you assert it’s true to the best of your knowledge after an inquiry reasonable under the circumstances…</w:t>
      </w:r>
    </w:p>
    <w:p w14:paraId="0454F9B4" w14:textId="77777777" w:rsidR="002A72F1" w:rsidRPr="002A72F1" w:rsidRDefault="002A72F1" w:rsidP="002A72F1">
      <w:pPr>
        <w:rPr>
          <w:rFonts w:ascii="Times New Roman" w:hAnsi="Times New Roman" w:cs="Times New Roman"/>
        </w:rPr>
      </w:pPr>
      <w:r w:rsidRPr="002A72F1">
        <w:rPr>
          <w:rFonts w:ascii="Times New Roman" w:hAnsi="Times New Roman" w:cs="Times New Roman"/>
        </w:rPr>
        <w:t>(b) Representations to the Court. By presenting to the court a pleading, written motion, or other paper — whether by signing, filing, submitting, or later advocating it — an attorney or unrepresented party certifies that to the best of the person’s knowledge, information, and belief, formed after an inquiry reasonable under the circumstances:</w:t>
      </w:r>
    </w:p>
    <w:p w14:paraId="4AFC10DB" w14:textId="77777777" w:rsidR="002A72F1" w:rsidRPr="002A72F1" w:rsidRDefault="002A72F1" w:rsidP="002A72F1">
      <w:pPr>
        <w:rPr>
          <w:rFonts w:ascii="Times New Roman" w:hAnsi="Times New Roman" w:cs="Times New Roman"/>
        </w:rPr>
      </w:pPr>
    </w:p>
    <w:p w14:paraId="431F90AD"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objective standard - Rule 11 is a negligence standard rather than an intentional standard – does not matter that you truly believed that it wasn’t frivolous</w:t>
      </w:r>
    </w:p>
    <w:p w14:paraId="2CFE2500"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continuing duty</w:t>
      </w:r>
    </w:p>
    <w:p w14:paraId="2CDE36E9"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Back to 11(b). Every time you are signing, filing, submitting, or later advocating you are making the Rule 11 certification - if it’s not true later and you’re advocating it you’re violating rule 11. Be careful. Usually the allegations you’re making (let’s say in a complaint) are constantly being advocated in the course of the lawsuit as you ask for relief. If the certification is suddenly not true anymore, you’re in trouble.</w:t>
      </w:r>
    </w:p>
    <w:p w14:paraId="63ED4E2D" w14:textId="77777777" w:rsidR="002A72F1" w:rsidRPr="002A72F1" w:rsidRDefault="002A72F1" w:rsidP="002A72F1">
      <w:pPr>
        <w:rPr>
          <w:rFonts w:ascii="Times New Roman" w:hAnsi="Times New Roman" w:cs="Times New Roman"/>
        </w:rPr>
      </w:pPr>
      <w:r w:rsidRPr="002A72F1">
        <w:rPr>
          <w:rFonts w:ascii="Times New Roman" w:hAnsi="Times New Roman" w:cs="Times New Roman"/>
        </w:rPr>
        <w:br w:type="page"/>
      </w:r>
    </w:p>
    <w:p w14:paraId="21DD03C5"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lastRenderedPageBreak/>
        <w:t xml:space="preserve">(1) it is not being presented for any improper purpose, such as to harass, cause unnecessary delay, or needlessly increase the cost of litigation; </w:t>
      </w:r>
    </w:p>
    <w:p w14:paraId="36E653DD"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Improper purpose</w:t>
      </w:r>
    </w:p>
    <w:p w14:paraId="3D2C2113" w14:textId="77777777" w:rsidR="002A72F1" w:rsidRPr="002A72F1" w:rsidRDefault="002A72F1" w:rsidP="002A72F1">
      <w:pPr>
        <w:spacing w:line="360" w:lineRule="auto"/>
        <w:rPr>
          <w:rFonts w:ascii="Times New Roman" w:hAnsi="Times New Roman" w:cs="Times New Roman"/>
        </w:rPr>
      </w:pPr>
    </w:p>
    <w:p w14:paraId="60FD9CEF"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 xml:space="preserve">(2) the claims, defenses, and other legal contentions are warranted by existing law or by a </w:t>
      </w:r>
      <w:proofErr w:type="spellStart"/>
      <w:r w:rsidRPr="002A72F1">
        <w:rPr>
          <w:rFonts w:ascii="Times New Roman" w:hAnsi="Times New Roman" w:cs="Times New Roman"/>
        </w:rPr>
        <w:t>nonfrivolous</w:t>
      </w:r>
      <w:proofErr w:type="spellEnd"/>
      <w:r w:rsidRPr="002A72F1">
        <w:rPr>
          <w:rFonts w:ascii="Times New Roman" w:hAnsi="Times New Roman" w:cs="Times New Roman"/>
        </w:rPr>
        <w:t xml:space="preserve"> argument for extending, modifying, or reversing existing law or for establishing new law;</w:t>
      </w:r>
    </w:p>
    <w:p w14:paraId="7C7A5E27" w14:textId="2CCC8E2A"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Not GOOD FAITH</w:t>
      </w:r>
      <w:r>
        <w:rPr>
          <w:rFonts w:ascii="Times New Roman" w:hAnsi="Times New Roman" w:cs="Times New Roman"/>
        </w:rPr>
        <w:t xml:space="preserve"> </w:t>
      </w:r>
      <w:r w:rsidRPr="002A72F1">
        <w:rPr>
          <w:rFonts w:ascii="Times New Roman" w:hAnsi="Times New Roman" w:cs="Times New Roman"/>
        </w:rPr>
        <w:t>Non- frivolous is objective.</w:t>
      </w:r>
    </w:p>
    <w:p w14:paraId="7D7AFC7E" w14:textId="77777777" w:rsidR="002A72F1" w:rsidRPr="002A72F1" w:rsidRDefault="002A72F1" w:rsidP="002A72F1">
      <w:pPr>
        <w:rPr>
          <w:rFonts w:ascii="Times New Roman" w:hAnsi="Times New Roman" w:cs="Times New Roman"/>
        </w:rPr>
      </w:pPr>
      <w:r w:rsidRPr="002A72F1">
        <w:rPr>
          <w:rFonts w:ascii="Times New Roman" w:hAnsi="Times New Roman" w:cs="Times New Roman"/>
        </w:rPr>
        <w:t xml:space="preserve">(3) the factual contentions have evidentiary support or, if </w:t>
      </w:r>
      <w:proofErr w:type="gramStart"/>
      <w:r w:rsidRPr="002A72F1">
        <w:rPr>
          <w:rFonts w:ascii="Times New Roman" w:hAnsi="Times New Roman" w:cs="Times New Roman"/>
        </w:rPr>
        <w:t>specifically</w:t>
      </w:r>
      <w:proofErr w:type="gramEnd"/>
      <w:r w:rsidRPr="002A72F1">
        <w:rPr>
          <w:rFonts w:ascii="Times New Roman" w:hAnsi="Times New Roman" w:cs="Times New Roman"/>
        </w:rPr>
        <w:t xml:space="preserve"> so identified, will likely have evidentiary support after a reasonable opportunity for further investigation or discovery; and</w:t>
      </w:r>
      <w:r w:rsidRPr="002A72F1">
        <w:rPr>
          <w:rFonts w:ascii="Times New Roman" w:hAnsi="Times New Roman" w:cs="Times New Roman"/>
        </w:rPr>
        <w:br/>
      </w:r>
      <w:r w:rsidRPr="002A72F1">
        <w:rPr>
          <w:rFonts w:ascii="Times New Roman" w:hAnsi="Times New Roman" w:cs="Times New Roman"/>
        </w:rPr>
        <w:br/>
        <w:t xml:space="preserve">(4) the denials of factual contentions are warranted on the evidence or, if specifically so identified, are reasonably based on belief or a lack of information. </w:t>
      </w:r>
    </w:p>
    <w:p w14:paraId="72357790" w14:textId="3E76AB36" w:rsidR="002A72F1" w:rsidRDefault="002A72F1" w:rsidP="002A72F1">
      <w:pPr>
        <w:rPr>
          <w:rFonts w:ascii="Times New Roman" w:hAnsi="Times New Roman" w:cs="Times New Roman"/>
        </w:rPr>
      </w:pPr>
      <w:r w:rsidRPr="002A72F1">
        <w:rPr>
          <w:rFonts w:ascii="Times New Roman" w:hAnsi="Times New Roman" w:cs="Times New Roman"/>
        </w:rPr>
        <w:t>Evidentiary support provision is important here for us. Balancing act justifying when a suit can go forward (sometimes D has the evidence of wrongdoing). Must be reasonable that evidence will arise late (may need evidence of probable evidence).</w:t>
      </w:r>
    </w:p>
    <w:p w14:paraId="69931B2B" w14:textId="77777777" w:rsidR="002A72F1" w:rsidRPr="002A72F1" w:rsidRDefault="002A72F1" w:rsidP="002A72F1">
      <w:pPr>
        <w:rPr>
          <w:rFonts w:ascii="Times New Roman" w:hAnsi="Times New Roman" w:cs="Times New Roman"/>
        </w:rPr>
      </w:pPr>
    </w:p>
    <w:p w14:paraId="06B74A1E" w14:textId="4B8637AF"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Denials require evidentiary support and satisfy rule 11. This is most likely most violated by frivolous denials/answers.</w:t>
      </w:r>
    </w:p>
    <w:p w14:paraId="40A31533" w14:textId="77777777" w:rsidR="002A72F1" w:rsidRPr="002A72F1" w:rsidRDefault="002A72F1" w:rsidP="002A72F1">
      <w:pPr>
        <w:rPr>
          <w:rFonts w:ascii="Times New Roman" w:hAnsi="Times New Roman" w:cs="Times New Roman"/>
        </w:rPr>
      </w:pPr>
      <w:r w:rsidRPr="002A72F1">
        <w:rPr>
          <w:rFonts w:ascii="Times New Roman" w:hAnsi="Times New Roman" w:cs="Times New Roman"/>
        </w:rPr>
        <w:br w:type="page"/>
      </w:r>
    </w:p>
    <w:p w14:paraId="4B711720" w14:textId="4C2CBE31"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lastRenderedPageBreak/>
        <w:t>(d) Inapplicability to Discovery. This rule does not apply to disclosures and discovery requests, responses, objections, and motions under Rules 26 through 37. S</w:t>
      </w:r>
    </w:p>
    <w:p w14:paraId="4C90F90C" w14:textId="77777777" w:rsidR="002A72F1" w:rsidRPr="002A72F1" w:rsidRDefault="002A72F1" w:rsidP="002A72F1">
      <w:pPr>
        <w:spacing w:line="360" w:lineRule="auto"/>
        <w:jc w:val="center"/>
        <w:rPr>
          <w:rFonts w:ascii="Times New Roman" w:hAnsi="Times New Roman" w:cs="Times New Roman"/>
        </w:rPr>
      </w:pPr>
    </w:p>
    <w:p w14:paraId="70AF13B4"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Separate rule for discovery. Still can’t be as frivolous as you want. We’ll get to that.</w:t>
      </w:r>
    </w:p>
    <w:p w14:paraId="0793D223"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 xml:space="preserve">11(c)(2) Motion for Sanctions. </w:t>
      </w:r>
      <w:r w:rsidRPr="002A72F1">
        <w:rPr>
          <w:rFonts w:ascii="Times New Roman" w:hAnsi="Times New Roman" w:cs="Times New Roman"/>
        </w:rPr>
        <w:br/>
        <w:t xml:space="preserve">A motion for sanctions must be made separately from any other motion and must describe the specific conduct that allegedly violates Rule 11(b). The motion must be served under Rule 5, but it must not be filed or be presented to the court if the challenged paper, claim, defense, contention, or denial is withdrawn or appropriately corrected within 21 days after service or within another time the court sets. </w:t>
      </w:r>
    </w:p>
    <w:p w14:paraId="4CF13200"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 xml:space="preserve">Scalia dissented to this 21-day safe harbor rule. Serve on other party before bringing to the court to give them time to cure. This was introduced to try to reduce litigation about rule 11. </w:t>
      </w:r>
    </w:p>
    <w:p w14:paraId="5C18070F" w14:textId="77777777" w:rsidR="002A72F1" w:rsidRPr="002A72F1" w:rsidRDefault="002A72F1" w:rsidP="002A72F1">
      <w:pPr>
        <w:rPr>
          <w:rFonts w:ascii="Times New Roman" w:hAnsi="Times New Roman" w:cs="Times New Roman"/>
        </w:rPr>
      </w:pPr>
      <w:r w:rsidRPr="002A72F1">
        <w:rPr>
          <w:rFonts w:ascii="Times New Roman" w:hAnsi="Times New Roman" w:cs="Times New Roman"/>
        </w:rPr>
        <w:t>Assume each allegation in a complaint was prefaced with the following statement:</w:t>
      </w:r>
      <w:r w:rsidRPr="002A72F1">
        <w:rPr>
          <w:rFonts w:ascii="Times New Roman" w:hAnsi="Times New Roman" w:cs="Times New Roman"/>
        </w:rPr>
        <w:br/>
      </w:r>
      <w:r w:rsidRPr="002A72F1">
        <w:rPr>
          <w:rFonts w:ascii="Times New Roman" w:hAnsi="Times New Roman" w:cs="Times New Roman"/>
        </w:rPr>
        <w:br/>
      </w:r>
      <w:r w:rsidRPr="002A72F1">
        <w:rPr>
          <w:rFonts w:ascii="Times New Roman" w:hAnsi="Times New Roman" w:cs="Times New Roman"/>
        </w:rPr>
        <w:tab/>
        <w:t>“The following allegation is likely to have evidentiary support after a reasonable opportunity for further investigation or discovery”</w:t>
      </w:r>
      <w:r w:rsidRPr="002A72F1">
        <w:rPr>
          <w:rFonts w:ascii="Times New Roman" w:hAnsi="Times New Roman" w:cs="Times New Roman"/>
        </w:rPr>
        <w:br/>
      </w:r>
      <w:r w:rsidRPr="002A72F1">
        <w:rPr>
          <w:rFonts w:ascii="Times New Roman" w:hAnsi="Times New Roman" w:cs="Times New Roman"/>
        </w:rPr>
        <w:br/>
        <w:t>Would R 11(b)(3) be satisfied?</w:t>
      </w:r>
    </w:p>
    <w:p w14:paraId="20D3BB38" w14:textId="77777777" w:rsidR="002A72F1" w:rsidRPr="002A72F1" w:rsidRDefault="002A72F1" w:rsidP="002A72F1">
      <w:pPr>
        <w:spacing w:line="360" w:lineRule="auto"/>
        <w:jc w:val="center"/>
        <w:rPr>
          <w:rFonts w:ascii="Times New Roman" w:hAnsi="Times New Roman" w:cs="Times New Roman"/>
        </w:rPr>
      </w:pPr>
    </w:p>
    <w:p w14:paraId="75C214FA"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No. Still violates if it’s not reasonable. You’re certifying that it’s likely to have evidentiary support. You have to specifically identify that the allegation doesn’t have evidentiary support with this language, so rarely used.</w:t>
      </w:r>
    </w:p>
    <w:p w14:paraId="31ABBF85" w14:textId="77777777" w:rsidR="002A72F1" w:rsidRPr="002A72F1" w:rsidRDefault="002A72F1" w:rsidP="002A72F1">
      <w:pPr>
        <w:rPr>
          <w:rFonts w:ascii="Times New Roman" w:hAnsi="Times New Roman" w:cs="Times New Roman"/>
        </w:rPr>
      </w:pPr>
      <w:r w:rsidRPr="002A72F1">
        <w:rPr>
          <w:rFonts w:ascii="Times New Roman" w:hAnsi="Times New Roman" w:cs="Times New Roman"/>
        </w:rPr>
        <w:t xml:space="preserve">can a plaintiff lose at summary judgment and nevertheless have satisfied R11(b)(3) at the pleading stage? </w:t>
      </w:r>
    </w:p>
    <w:p w14:paraId="24DF1F2B" w14:textId="77777777" w:rsidR="002A72F1" w:rsidRPr="002A72F1" w:rsidRDefault="002A72F1" w:rsidP="002A72F1">
      <w:pPr>
        <w:rPr>
          <w:rFonts w:ascii="Times New Roman" w:hAnsi="Times New Roman" w:cs="Times New Roman"/>
        </w:rPr>
      </w:pPr>
    </w:p>
    <w:p w14:paraId="1EBB83E6"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Reasonable to THINK you had or would get evidentiary support for example. So yes.</w:t>
      </w:r>
    </w:p>
    <w:p w14:paraId="1ABFC8C7" w14:textId="77777777" w:rsidR="002A72F1" w:rsidRPr="002A72F1" w:rsidRDefault="002A72F1" w:rsidP="002A72F1">
      <w:pPr>
        <w:rPr>
          <w:rFonts w:ascii="Times New Roman" w:hAnsi="Times New Roman" w:cs="Times New Roman"/>
        </w:rPr>
      </w:pPr>
      <w:r w:rsidRPr="002A72F1">
        <w:rPr>
          <w:rFonts w:ascii="Times New Roman" w:hAnsi="Times New Roman" w:cs="Times New Roman"/>
        </w:rPr>
        <w:br w:type="page"/>
      </w:r>
    </w:p>
    <w:p w14:paraId="4A8632F0"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lastRenderedPageBreak/>
        <w:t xml:space="preserve">can a plaintiff defeat a motion for summary judgment and nevertheless have violated R11(b)(3) at the pleading stage? </w:t>
      </w:r>
    </w:p>
    <w:p w14:paraId="195D0751"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You have sufficient evidentiary support because you got it in discovery even though it was not reasonable to think you would (this is less likely but can happen) from say a fishing expedition and got lucky. Yes.</w:t>
      </w:r>
    </w:p>
    <w:p w14:paraId="20EE7802" w14:textId="77777777" w:rsidR="002A72F1" w:rsidRPr="002A72F1" w:rsidRDefault="002A72F1" w:rsidP="002A72F1">
      <w:pPr>
        <w:rPr>
          <w:rFonts w:ascii="Times New Roman" w:hAnsi="Times New Roman" w:cs="Times New Roman"/>
        </w:rPr>
      </w:pPr>
      <w:r w:rsidRPr="002A72F1">
        <w:rPr>
          <w:rFonts w:ascii="Times New Roman" w:hAnsi="Times New Roman" w:cs="Times New Roman"/>
        </w:rPr>
        <w:t xml:space="preserve">did the complaint in Twombly satisfy R 11(b)(3)? </w:t>
      </w:r>
    </w:p>
    <w:p w14:paraId="777EA670" w14:textId="77777777" w:rsidR="002A72F1" w:rsidRPr="002A72F1" w:rsidRDefault="002A72F1" w:rsidP="002A72F1">
      <w:pPr>
        <w:spacing w:line="360" w:lineRule="auto"/>
        <w:jc w:val="center"/>
        <w:rPr>
          <w:rFonts w:ascii="Times New Roman" w:hAnsi="Times New Roman" w:cs="Times New Roman"/>
        </w:rPr>
      </w:pPr>
    </w:p>
    <w:p w14:paraId="50C3FBFD"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 xml:space="preserve">Had circumstantial evidence with the baby bell’s parallel behavior. Is this proto-evidence (that more will come up in discover)? SCOTUS didn’t think so. But it’s entirely possible that it is enough on its own to justify going forward. </w:t>
      </w:r>
    </w:p>
    <w:p w14:paraId="09A708EE" w14:textId="77777777" w:rsidR="002A72F1" w:rsidRPr="002A72F1" w:rsidRDefault="002A72F1" w:rsidP="002A72F1">
      <w:pPr>
        <w:rPr>
          <w:rFonts w:ascii="Times New Roman" w:hAnsi="Times New Roman" w:cs="Times New Roman"/>
        </w:rPr>
      </w:pPr>
      <w:r w:rsidRPr="002A72F1">
        <w:rPr>
          <w:rFonts w:ascii="Times New Roman" w:hAnsi="Times New Roman" w:cs="Times New Roman"/>
        </w:rPr>
        <w:t xml:space="preserve">what kind of evidentiary support satisfies 11(b)(3)? </w:t>
      </w:r>
    </w:p>
    <w:p w14:paraId="680E5B24"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 xml:space="preserve">Does not have to be enough (at that point) to defeat summary judgment. Doesn’t have to be enough that a reasonable juror would believe you. Doesn’t have to be admissible evidence. </w:t>
      </w:r>
    </w:p>
    <w:p w14:paraId="09CB5544"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 xml:space="preserve">(“Plausible” is a term of art SCOTUS made up in </w:t>
      </w:r>
      <w:proofErr w:type="spellStart"/>
      <w:r w:rsidRPr="002A72F1">
        <w:rPr>
          <w:rFonts w:ascii="Times New Roman" w:hAnsi="Times New Roman" w:cs="Times New Roman"/>
        </w:rPr>
        <w:t>Twiqbal</w:t>
      </w:r>
      <w:proofErr w:type="spellEnd"/>
      <w:r w:rsidRPr="002A72F1">
        <w:rPr>
          <w:rFonts w:ascii="Times New Roman" w:hAnsi="Times New Roman" w:cs="Times New Roman"/>
        </w:rPr>
        <w:t xml:space="preserve">. Reasonable is more objective. Nobody knows what the plausibility standard is through the lens of </w:t>
      </w:r>
      <w:proofErr w:type="spellStart"/>
      <w:r w:rsidRPr="002A72F1">
        <w:rPr>
          <w:rFonts w:ascii="Times New Roman" w:hAnsi="Times New Roman" w:cs="Times New Roman"/>
        </w:rPr>
        <w:t>Twiqbal</w:t>
      </w:r>
      <w:proofErr w:type="spellEnd"/>
      <w:r w:rsidRPr="002A72F1">
        <w:rPr>
          <w:rFonts w:ascii="Times New Roman" w:hAnsi="Times New Roman" w:cs="Times New Roman"/>
        </w:rPr>
        <w:t>)</w:t>
      </w:r>
    </w:p>
    <w:p w14:paraId="07320928"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what part of the complaint violated 11(b)(2)?</w:t>
      </w:r>
    </w:p>
    <w:p w14:paraId="4432BC98" w14:textId="77777777" w:rsidR="002A72F1" w:rsidRPr="002A72F1" w:rsidRDefault="002A72F1" w:rsidP="002A72F1">
      <w:pPr>
        <w:spacing w:line="360" w:lineRule="auto"/>
        <w:rPr>
          <w:rFonts w:ascii="Times New Roman" w:hAnsi="Times New Roman" w:cs="Times New Roman"/>
        </w:rPr>
      </w:pPr>
      <w:bookmarkStart w:id="0" w:name="_GoBack"/>
      <w:bookmarkEnd w:id="0"/>
      <w:r w:rsidRPr="002A72F1">
        <w:rPr>
          <w:rFonts w:ascii="Times New Roman" w:hAnsi="Times New Roman" w:cs="Times New Roman"/>
        </w:rPr>
        <w:t xml:space="preserve">But there are cases where you can offer </w:t>
      </w:r>
      <w:proofErr w:type="spellStart"/>
      <w:r w:rsidRPr="002A72F1">
        <w:rPr>
          <w:rFonts w:ascii="Times New Roman" w:hAnsi="Times New Roman" w:cs="Times New Roman"/>
        </w:rPr>
        <w:t>nonfrivolous</w:t>
      </w:r>
      <w:proofErr w:type="spellEnd"/>
      <w:r w:rsidRPr="002A72F1">
        <w:rPr>
          <w:rFonts w:ascii="Times New Roman" w:hAnsi="Times New Roman" w:cs="Times New Roman"/>
        </w:rPr>
        <w:t xml:space="preserve"> arguments for change in the law -  Yes Brown v. Board.</w:t>
      </w:r>
    </w:p>
    <w:p w14:paraId="6979E57D" w14:textId="77777777" w:rsidR="002A72F1" w:rsidRPr="002A72F1" w:rsidRDefault="002A72F1" w:rsidP="002A72F1">
      <w:pPr>
        <w:rPr>
          <w:rFonts w:ascii="Times New Roman" w:hAnsi="Times New Roman" w:cs="Times New Roman"/>
        </w:rPr>
      </w:pPr>
      <w:r w:rsidRPr="002A72F1">
        <w:rPr>
          <w:rFonts w:ascii="Times New Roman" w:hAnsi="Times New Roman" w:cs="Times New Roman"/>
        </w:rPr>
        <w:t>do you have to mention the non-frivolous argument for a legal contention when the contention is made?</w:t>
      </w:r>
    </w:p>
    <w:p w14:paraId="0465D730"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Arguments come out later in response to R 11 motion – same for evidentiary support</w:t>
      </w:r>
    </w:p>
    <w:p w14:paraId="51FCF9B2" w14:textId="77777777" w:rsidR="002A72F1" w:rsidRPr="002A72F1" w:rsidRDefault="002A72F1" w:rsidP="002A72F1">
      <w:pPr>
        <w:rPr>
          <w:rFonts w:ascii="Times New Roman" w:hAnsi="Times New Roman" w:cs="Times New Roman"/>
        </w:rPr>
      </w:pPr>
      <w:r w:rsidRPr="002A72F1">
        <w:rPr>
          <w:rFonts w:ascii="Times New Roman" w:hAnsi="Times New Roman" w:cs="Times New Roman"/>
        </w:rPr>
        <w:t>sanctions?</w:t>
      </w:r>
    </w:p>
    <w:p w14:paraId="5060F1A1" w14:textId="77777777" w:rsidR="002A72F1" w:rsidRDefault="002A72F1" w:rsidP="002A72F1">
      <w:pPr>
        <w:rPr>
          <w:rFonts w:ascii="Times New Roman" w:hAnsi="Times New Roman" w:cs="Times New Roman"/>
        </w:rPr>
      </w:pPr>
    </w:p>
    <w:p w14:paraId="59D828BB" w14:textId="77777777" w:rsidR="002A72F1" w:rsidRPr="002A72F1" w:rsidRDefault="002A72F1" w:rsidP="002A72F1">
      <w:pPr>
        <w:rPr>
          <w:rFonts w:ascii="Times New Roman" w:hAnsi="Times New Roman" w:cs="Times New Roman"/>
        </w:rPr>
      </w:pPr>
      <w:r w:rsidRPr="002A72F1">
        <w:rPr>
          <w:rFonts w:ascii="Times New Roman" w:hAnsi="Times New Roman" w:cs="Times New Roman"/>
        </w:rPr>
        <w:t>11(c)(5) Limitations on Monetary Sanctions. The court must not impose a monetary sanction:</w:t>
      </w:r>
      <w:r w:rsidRPr="002A72F1">
        <w:rPr>
          <w:rFonts w:ascii="Times New Roman" w:hAnsi="Times New Roman" w:cs="Times New Roman"/>
        </w:rPr>
        <w:br/>
      </w:r>
      <w:r w:rsidRPr="002A72F1">
        <w:rPr>
          <w:rFonts w:ascii="Times New Roman" w:hAnsi="Times New Roman" w:cs="Times New Roman"/>
        </w:rPr>
        <w:br/>
        <w:t>(A) against a represented party for violating Rule 11(b)(</w:t>
      </w:r>
      <w:proofErr w:type="gramStart"/>
      <w:r w:rsidRPr="002A72F1">
        <w:rPr>
          <w:rFonts w:ascii="Times New Roman" w:hAnsi="Times New Roman" w:cs="Times New Roman"/>
        </w:rPr>
        <w:t>2)…</w:t>
      </w:r>
      <w:proofErr w:type="gramEnd"/>
      <w:r w:rsidRPr="002A72F1">
        <w:rPr>
          <w:rFonts w:ascii="Times New Roman" w:hAnsi="Times New Roman" w:cs="Times New Roman"/>
        </w:rPr>
        <w:t xml:space="preserve"> </w:t>
      </w:r>
    </w:p>
    <w:p w14:paraId="549F6F44" w14:textId="77777777" w:rsidR="002A72F1" w:rsidRPr="002A72F1" w:rsidRDefault="002A72F1" w:rsidP="002A72F1">
      <w:pPr>
        <w:spacing w:line="360" w:lineRule="auto"/>
        <w:rPr>
          <w:rFonts w:ascii="Times New Roman" w:hAnsi="Times New Roman" w:cs="Times New Roman"/>
        </w:rPr>
      </w:pPr>
      <w:r w:rsidRPr="002A72F1">
        <w:rPr>
          <w:rFonts w:ascii="Times New Roman" w:hAnsi="Times New Roman" w:cs="Times New Roman"/>
        </w:rPr>
        <w:t>11b2 is frivolous legal contention. Lawyers should be responsible for the legal arguments.</w:t>
      </w:r>
    </w:p>
    <w:p w14:paraId="72784672" w14:textId="77777777" w:rsidR="002A72F1" w:rsidRPr="002A72F1" w:rsidRDefault="002A72F1" w:rsidP="002A72F1">
      <w:pPr>
        <w:pStyle w:val="ListParagraph"/>
        <w:rPr>
          <w:rFonts w:ascii="Times New Roman" w:hAnsi="Times New Roman" w:cs="Times New Roman"/>
        </w:rPr>
      </w:pPr>
    </w:p>
    <w:sectPr w:rsidR="002A72F1" w:rsidRPr="002A72F1" w:rsidSect="00395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A6F52"/>
    <w:multiLevelType w:val="hybridMultilevel"/>
    <w:tmpl w:val="CA060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B75B23"/>
    <w:multiLevelType w:val="hybridMultilevel"/>
    <w:tmpl w:val="3DAAF7B6"/>
    <w:lvl w:ilvl="0" w:tplc="9A60F86C">
      <w:start w:val="1"/>
      <w:numFmt w:val="bullet"/>
      <w:lvlText w:val="•"/>
      <w:lvlJc w:val="left"/>
      <w:pPr>
        <w:tabs>
          <w:tab w:val="num" w:pos="720"/>
        </w:tabs>
        <w:ind w:left="720" w:hanging="360"/>
      </w:pPr>
      <w:rPr>
        <w:rFonts w:ascii="Arial" w:hAnsi="Arial" w:hint="default"/>
      </w:rPr>
    </w:lvl>
    <w:lvl w:ilvl="1" w:tplc="EC18E342">
      <w:start w:val="1"/>
      <w:numFmt w:val="bullet"/>
      <w:lvlText w:val="•"/>
      <w:lvlJc w:val="left"/>
      <w:pPr>
        <w:tabs>
          <w:tab w:val="num" w:pos="1440"/>
        </w:tabs>
        <w:ind w:left="1440" w:hanging="360"/>
      </w:pPr>
      <w:rPr>
        <w:rFonts w:ascii="Arial" w:hAnsi="Arial" w:hint="default"/>
      </w:rPr>
    </w:lvl>
    <w:lvl w:ilvl="2" w:tplc="F5D44EF2" w:tentative="1">
      <w:start w:val="1"/>
      <w:numFmt w:val="bullet"/>
      <w:lvlText w:val="•"/>
      <w:lvlJc w:val="left"/>
      <w:pPr>
        <w:tabs>
          <w:tab w:val="num" w:pos="2160"/>
        </w:tabs>
        <w:ind w:left="2160" w:hanging="360"/>
      </w:pPr>
      <w:rPr>
        <w:rFonts w:ascii="Arial" w:hAnsi="Arial" w:hint="default"/>
      </w:rPr>
    </w:lvl>
    <w:lvl w:ilvl="3" w:tplc="0E7CF0E8" w:tentative="1">
      <w:start w:val="1"/>
      <w:numFmt w:val="bullet"/>
      <w:lvlText w:val="•"/>
      <w:lvlJc w:val="left"/>
      <w:pPr>
        <w:tabs>
          <w:tab w:val="num" w:pos="2880"/>
        </w:tabs>
        <w:ind w:left="2880" w:hanging="360"/>
      </w:pPr>
      <w:rPr>
        <w:rFonts w:ascii="Arial" w:hAnsi="Arial" w:hint="default"/>
      </w:rPr>
    </w:lvl>
    <w:lvl w:ilvl="4" w:tplc="ACC6CEF4" w:tentative="1">
      <w:start w:val="1"/>
      <w:numFmt w:val="bullet"/>
      <w:lvlText w:val="•"/>
      <w:lvlJc w:val="left"/>
      <w:pPr>
        <w:tabs>
          <w:tab w:val="num" w:pos="3600"/>
        </w:tabs>
        <w:ind w:left="3600" w:hanging="360"/>
      </w:pPr>
      <w:rPr>
        <w:rFonts w:ascii="Arial" w:hAnsi="Arial" w:hint="default"/>
      </w:rPr>
    </w:lvl>
    <w:lvl w:ilvl="5" w:tplc="0CD46E86" w:tentative="1">
      <w:start w:val="1"/>
      <w:numFmt w:val="bullet"/>
      <w:lvlText w:val="•"/>
      <w:lvlJc w:val="left"/>
      <w:pPr>
        <w:tabs>
          <w:tab w:val="num" w:pos="4320"/>
        </w:tabs>
        <w:ind w:left="4320" w:hanging="360"/>
      </w:pPr>
      <w:rPr>
        <w:rFonts w:ascii="Arial" w:hAnsi="Arial" w:hint="default"/>
      </w:rPr>
    </w:lvl>
    <w:lvl w:ilvl="6" w:tplc="6F4E84F2" w:tentative="1">
      <w:start w:val="1"/>
      <w:numFmt w:val="bullet"/>
      <w:lvlText w:val="•"/>
      <w:lvlJc w:val="left"/>
      <w:pPr>
        <w:tabs>
          <w:tab w:val="num" w:pos="5040"/>
        </w:tabs>
        <w:ind w:left="5040" w:hanging="360"/>
      </w:pPr>
      <w:rPr>
        <w:rFonts w:ascii="Arial" w:hAnsi="Arial" w:hint="default"/>
      </w:rPr>
    </w:lvl>
    <w:lvl w:ilvl="7" w:tplc="A6905950" w:tentative="1">
      <w:start w:val="1"/>
      <w:numFmt w:val="bullet"/>
      <w:lvlText w:val="•"/>
      <w:lvlJc w:val="left"/>
      <w:pPr>
        <w:tabs>
          <w:tab w:val="num" w:pos="5760"/>
        </w:tabs>
        <w:ind w:left="5760" w:hanging="360"/>
      </w:pPr>
      <w:rPr>
        <w:rFonts w:ascii="Arial" w:hAnsi="Arial" w:hint="default"/>
      </w:rPr>
    </w:lvl>
    <w:lvl w:ilvl="8" w:tplc="E9E0E5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9DF7F33"/>
    <w:multiLevelType w:val="hybridMultilevel"/>
    <w:tmpl w:val="AFDE59C2"/>
    <w:lvl w:ilvl="0" w:tplc="A0B602E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8A5"/>
    <w:rsid w:val="000218A5"/>
    <w:rsid w:val="00054E0B"/>
    <w:rsid w:val="000933CE"/>
    <w:rsid w:val="000A4B35"/>
    <w:rsid w:val="000C608A"/>
    <w:rsid w:val="000D1595"/>
    <w:rsid w:val="000F3C97"/>
    <w:rsid w:val="00203AE7"/>
    <w:rsid w:val="002275C4"/>
    <w:rsid w:val="002A72F1"/>
    <w:rsid w:val="00317153"/>
    <w:rsid w:val="00362E1D"/>
    <w:rsid w:val="00395E10"/>
    <w:rsid w:val="003D06CC"/>
    <w:rsid w:val="00436950"/>
    <w:rsid w:val="004953D1"/>
    <w:rsid w:val="00542CAE"/>
    <w:rsid w:val="00584D66"/>
    <w:rsid w:val="0059017E"/>
    <w:rsid w:val="005D6713"/>
    <w:rsid w:val="005F1B25"/>
    <w:rsid w:val="00674ED1"/>
    <w:rsid w:val="0072408C"/>
    <w:rsid w:val="007534B9"/>
    <w:rsid w:val="007F665B"/>
    <w:rsid w:val="00822041"/>
    <w:rsid w:val="0094596A"/>
    <w:rsid w:val="00957E87"/>
    <w:rsid w:val="009B0167"/>
    <w:rsid w:val="00A66C92"/>
    <w:rsid w:val="00AE0FF6"/>
    <w:rsid w:val="00B102B6"/>
    <w:rsid w:val="00B33F72"/>
    <w:rsid w:val="00B848A1"/>
    <w:rsid w:val="00BF0A00"/>
    <w:rsid w:val="00BF3D95"/>
    <w:rsid w:val="00C5490C"/>
    <w:rsid w:val="00CA7D4A"/>
    <w:rsid w:val="00CD21F9"/>
    <w:rsid w:val="00D25ED3"/>
    <w:rsid w:val="00D34F55"/>
    <w:rsid w:val="00D57E20"/>
    <w:rsid w:val="00D63BD1"/>
    <w:rsid w:val="00D90795"/>
    <w:rsid w:val="00DB1D62"/>
    <w:rsid w:val="00E2140C"/>
    <w:rsid w:val="00E30866"/>
    <w:rsid w:val="00EE08FC"/>
    <w:rsid w:val="00EF2768"/>
    <w:rsid w:val="00F07429"/>
    <w:rsid w:val="00F12DEB"/>
    <w:rsid w:val="00FB4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1CB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1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236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182E0-3DAB-644C-B228-F9AE43DC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Lanning, John</dc:creator>
  <cp:keywords/>
  <dc:description/>
  <cp:lastModifiedBy>Green, Michael S</cp:lastModifiedBy>
  <cp:revision>4</cp:revision>
  <dcterms:created xsi:type="dcterms:W3CDTF">2018-10-28T22:04:00Z</dcterms:created>
  <dcterms:modified xsi:type="dcterms:W3CDTF">2018-10-28T22:10:00Z</dcterms:modified>
</cp:coreProperties>
</file>