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84" w:rsidRDefault="00310784" w:rsidP="00310784">
      <w:pPr>
        <w:ind w:left="1483"/>
        <w:textAlignment w:val="center"/>
        <w:rPr>
          <w:rFonts w:ascii="Calibri" w:eastAsia="Times New Roman" w:hAnsi="Calibri"/>
          <w:sz w:val="22"/>
          <w:szCs w:val="22"/>
        </w:rPr>
      </w:pPr>
      <w:proofErr w:type="spellStart"/>
      <w:r>
        <w:rPr>
          <w:rFonts w:ascii="Calibri" w:eastAsia="Times New Roman" w:hAnsi="Calibri"/>
          <w:sz w:val="22"/>
          <w:szCs w:val="22"/>
        </w:rPr>
        <w:t>Lect</w:t>
      </w:r>
      <w:proofErr w:type="spellEnd"/>
      <w:r>
        <w:rPr>
          <w:rFonts w:ascii="Calibri" w:eastAsia="Times New Roman" w:hAnsi="Calibri"/>
          <w:sz w:val="22"/>
          <w:szCs w:val="22"/>
        </w:rPr>
        <w:t xml:space="preserve"> 22</w:t>
      </w:r>
    </w:p>
    <w:p w:rsidR="00310784" w:rsidRDefault="00310784" w:rsidP="00310784">
      <w:pPr>
        <w:ind w:left="1483"/>
        <w:textAlignment w:val="center"/>
        <w:rPr>
          <w:rFonts w:ascii="Calibri" w:eastAsia="Times New Roman" w:hAnsi="Calibri"/>
          <w:sz w:val="22"/>
          <w:szCs w:val="22"/>
        </w:rPr>
      </w:pPr>
      <w:r>
        <w:rPr>
          <w:rFonts w:ascii="Calibri" w:eastAsia="Times New Roman" w:hAnsi="Calibri"/>
          <w:sz w:val="22"/>
          <w:szCs w:val="22"/>
        </w:rPr>
        <w:t>Obligation to provide a forum</w:t>
      </w:r>
    </w:p>
    <w:p w:rsidR="00310784" w:rsidRDefault="00310784" w:rsidP="00AD65D5">
      <w:pPr>
        <w:ind w:left="2023"/>
        <w:textAlignment w:val="center"/>
        <w:rPr>
          <w:rFonts w:ascii="Calibri" w:eastAsia="Times New Roman" w:hAnsi="Calibri"/>
          <w:sz w:val="22"/>
          <w:szCs w:val="22"/>
        </w:rPr>
      </w:pPr>
      <w:r>
        <w:rPr>
          <w:rFonts w:ascii="Calibri" w:eastAsia="Times New Roman" w:hAnsi="Calibri"/>
          <w:sz w:val="22"/>
          <w:szCs w:val="22"/>
        </w:rPr>
        <w:t>Hughes v Fetter (US 1951)</w:t>
      </w:r>
    </w:p>
    <w:p w:rsidR="00310784" w:rsidRDefault="00310784" w:rsidP="00310784">
      <w:pPr>
        <w:numPr>
          <w:ilvl w:val="4"/>
          <w:numId w:val="3"/>
        </w:numPr>
        <w:ind w:left="2563"/>
        <w:textAlignment w:val="center"/>
        <w:rPr>
          <w:rFonts w:ascii="Calibri" w:eastAsia="Times New Roman" w:hAnsi="Calibri"/>
          <w:sz w:val="22"/>
          <w:szCs w:val="22"/>
        </w:rPr>
      </w:pPr>
      <w:r>
        <w:rPr>
          <w:rFonts w:ascii="Calibri" w:eastAsia="Times New Roman" w:hAnsi="Calibri"/>
          <w:sz w:val="22"/>
          <w:szCs w:val="22"/>
        </w:rPr>
        <w:t>Facts:</w:t>
      </w:r>
    </w:p>
    <w:p w:rsidR="00310784" w:rsidRDefault="00310784" w:rsidP="00310784">
      <w:pPr>
        <w:numPr>
          <w:ilvl w:val="5"/>
          <w:numId w:val="4"/>
        </w:numPr>
        <w:ind w:left="3103"/>
        <w:textAlignment w:val="center"/>
        <w:rPr>
          <w:rFonts w:ascii="Calibri" w:eastAsia="Times New Roman" w:hAnsi="Calibri"/>
          <w:sz w:val="22"/>
          <w:szCs w:val="22"/>
        </w:rPr>
      </w:pPr>
      <w:r>
        <w:rPr>
          <w:rFonts w:ascii="Calibri" w:eastAsia="Times New Roman" w:hAnsi="Calibri"/>
          <w:sz w:val="22"/>
          <w:szCs w:val="22"/>
        </w:rPr>
        <w:t xml:space="preserve">Wisconsin resident got into an accident in Ill. Parties were Wisconsin domiciliaries. Sued under Illinois law. </w:t>
      </w:r>
    </w:p>
    <w:p w:rsidR="00310784" w:rsidRDefault="00310784" w:rsidP="00310784">
      <w:pPr>
        <w:numPr>
          <w:ilvl w:val="5"/>
          <w:numId w:val="4"/>
        </w:numPr>
        <w:ind w:left="3103"/>
        <w:textAlignment w:val="center"/>
        <w:rPr>
          <w:rFonts w:ascii="Calibri" w:eastAsia="Times New Roman" w:hAnsi="Calibri"/>
          <w:sz w:val="22"/>
          <w:szCs w:val="22"/>
        </w:rPr>
      </w:pPr>
      <w:r>
        <w:rPr>
          <w:rFonts w:ascii="Calibri" w:eastAsia="Times New Roman" w:hAnsi="Calibri"/>
          <w:sz w:val="22"/>
          <w:szCs w:val="22"/>
        </w:rPr>
        <w:t>Wisconsin wrongful death statute said that it only applied to deaths within the state. Wisconsin court read into this a policy against entertaining sister state wrongful death actions.</w:t>
      </w:r>
    </w:p>
    <w:p w:rsidR="00310784" w:rsidRDefault="00310784" w:rsidP="00310784">
      <w:pPr>
        <w:numPr>
          <w:ilvl w:val="5"/>
          <w:numId w:val="5"/>
        </w:numPr>
        <w:ind w:left="3103"/>
        <w:textAlignment w:val="center"/>
        <w:rPr>
          <w:rFonts w:ascii="Calibri" w:eastAsia="Times New Roman" w:hAnsi="Calibri"/>
          <w:sz w:val="22"/>
          <w:szCs w:val="22"/>
        </w:rPr>
      </w:pPr>
      <w:r>
        <w:rPr>
          <w:rFonts w:ascii="Calibri" w:eastAsia="Times New Roman" w:hAnsi="Calibri"/>
          <w:sz w:val="22"/>
          <w:szCs w:val="22"/>
        </w:rPr>
        <w:t xml:space="preserve">The Wisconsin court dismissed the case with prejudice. If the court applied Wisconsin law, this might have been ok. But the question was solely the </w:t>
      </w:r>
      <w:r w:rsidR="00AD65D5">
        <w:rPr>
          <w:rFonts w:ascii="Calibri" w:eastAsia="Times New Roman" w:hAnsi="Calibri"/>
          <w:sz w:val="22"/>
          <w:szCs w:val="22"/>
        </w:rPr>
        <w:t>entertainment of</w:t>
      </w:r>
      <w:r>
        <w:rPr>
          <w:rFonts w:ascii="Calibri" w:eastAsia="Times New Roman" w:hAnsi="Calibri"/>
          <w:sz w:val="22"/>
          <w:szCs w:val="22"/>
        </w:rPr>
        <w:t xml:space="preserve"> </w:t>
      </w:r>
      <w:r w:rsidR="00AD65D5">
        <w:rPr>
          <w:rFonts w:ascii="Calibri" w:eastAsia="Times New Roman" w:hAnsi="Calibri"/>
          <w:sz w:val="22"/>
          <w:szCs w:val="22"/>
        </w:rPr>
        <w:t>an</w:t>
      </w:r>
      <w:r>
        <w:rPr>
          <w:rFonts w:ascii="Calibri" w:eastAsia="Times New Roman" w:hAnsi="Calibri"/>
          <w:sz w:val="22"/>
          <w:szCs w:val="22"/>
        </w:rPr>
        <w:t xml:space="preserve"> Illinois </w:t>
      </w:r>
      <w:r w:rsidR="00AD65D5">
        <w:rPr>
          <w:rFonts w:ascii="Calibri" w:eastAsia="Times New Roman" w:hAnsi="Calibri"/>
          <w:sz w:val="22"/>
          <w:szCs w:val="22"/>
        </w:rPr>
        <w:t>action</w:t>
      </w:r>
      <w:r>
        <w:rPr>
          <w:rFonts w:ascii="Calibri" w:eastAsia="Times New Roman" w:hAnsi="Calibri"/>
          <w:sz w:val="22"/>
          <w:szCs w:val="22"/>
        </w:rPr>
        <w:t xml:space="preserve">. They refused to </w:t>
      </w:r>
      <w:r w:rsidR="00AD65D5">
        <w:rPr>
          <w:rFonts w:ascii="Calibri" w:eastAsia="Times New Roman" w:hAnsi="Calibri"/>
          <w:sz w:val="22"/>
          <w:szCs w:val="22"/>
        </w:rPr>
        <w:t>entertain</w:t>
      </w:r>
      <w:r>
        <w:rPr>
          <w:rFonts w:ascii="Calibri" w:eastAsia="Times New Roman" w:hAnsi="Calibri"/>
          <w:sz w:val="22"/>
          <w:szCs w:val="22"/>
        </w:rPr>
        <w:t xml:space="preserve"> it and then dismissed with prejudice. </w:t>
      </w:r>
    </w:p>
    <w:p w:rsidR="00310784" w:rsidRDefault="00310784" w:rsidP="00310784">
      <w:pPr>
        <w:numPr>
          <w:ilvl w:val="5"/>
          <w:numId w:val="6"/>
        </w:numPr>
        <w:ind w:left="3103"/>
        <w:textAlignment w:val="center"/>
        <w:rPr>
          <w:rFonts w:ascii="Calibri" w:eastAsia="Times New Roman" w:hAnsi="Calibri"/>
          <w:sz w:val="22"/>
          <w:szCs w:val="22"/>
        </w:rPr>
      </w:pPr>
      <w:r>
        <w:rPr>
          <w:rFonts w:ascii="Calibri" w:eastAsia="Times New Roman" w:hAnsi="Calibri"/>
          <w:sz w:val="22"/>
          <w:szCs w:val="22"/>
        </w:rPr>
        <w:t>Supreme Court makes it seems like there is an obligation for states to take s</w:t>
      </w:r>
      <w:r w:rsidR="00AD65D5">
        <w:rPr>
          <w:rFonts w:ascii="Calibri" w:eastAsia="Times New Roman" w:hAnsi="Calibri"/>
          <w:sz w:val="22"/>
          <w:szCs w:val="22"/>
        </w:rPr>
        <w:t>ister states' causes of action. There would have been a problem even if the action had been dismissed without prejudice.</w:t>
      </w:r>
    </w:p>
    <w:p w:rsidR="00310784" w:rsidRDefault="00310784" w:rsidP="00310784">
      <w:pPr>
        <w:ind w:left="3600"/>
        <w:textAlignment w:val="center"/>
        <w:rPr>
          <w:rFonts w:ascii="Calibri" w:eastAsia="Times New Roman" w:hAnsi="Calibri"/>
          <w:sz w:val="22"/>
          <w:szCs w:val="22"/>
        </w:rPr>
      </w:pPr>
      <w:r>
        <w:rPr>
          <w:rFonts w:ascii="Calibri" w:eastAsia="Times New Roman" w:hAnsi="Calibri"/>
          <w:sz w:val="22"/>
          <w:szCs w:val="22"/>
        </w:rPr>
        <w:t>“We are called upon to decide the narrow question whether Wisconsin, over the objection raised, can close the doors of its courts to the cause of action created by the Illinois wrongful death act. Prior decisions have established that the Illinois statute is a ‘public act’ within the provision of Art. IV, § 1 that ‘Full Faith and Credit shall be given in each State to the public Acts . . . of every other State.’ It is also settled that Wisconsin cannot escape this constitutional obligation to enforce the rights and duties validly created under the laws of other states by the simple device of removing jurisdiction from courts otherwise competent."</w:t>
      </w:r>
    </w:p>
    <w:p w:rsidR="00310784" w:rsidRDefault="00310784" w:rsidP="00310784">
      <w:pPr>
        <w:ind w:left="5040"/>
        <w:textAlignment w:val="center"/>
        <w:rPr>
          <w:rFonts w:ascii="Calibri" w:eastAsia="Times New Roman" w:hAnsi="Calibri"/>
          <w:sz w:val="22"/>
          <w:szCs w:val="22"/>
        </w:rPr>
      </w:pPr>
    </w:p>
    <w:p w:rsidR="00310784" w:rsidRDefault="00310784" w:rsidP="00310784">
      <w:pPr>
        <w:numPr>
          <w:ilvl w:val="5"/>
          <w:numId w:val="7"/>
        </w:numPr>
        <w:ind w:left="3103"/>
        <w:textAlignment w:val="center"/>
        <w:rPr>
          <w:rFonts w:ascii="Calibri" w:eastAsia="Times New Roman" w:hAnsi="Calibri"/>
          <w:sz w:val="22"/>
          <w:szCs w:val="22"/>
        </w:rPr>
      </w:pPr>
      <w:r>
        <w:rPr>
          <w:rFonts w:ascii="Calibri" w:eastAsia="Times New Roman" w:hAnsi="Calibri"/>
          <w:sz w:val="22"/>
          <w:szCs w:val="22"/>
        </w:rPr>
        <w:t xml:space="preserve">But </w:t>
      </w:r>
      <w:r w:rsidR="00AD65D5">
        <w:rPr>
          <w:rFonts w:ascii="Calibri" w:eastAsia="Times New Roman" w:hAnsi="Calibri"/>
          <w:sz w:val="22"/>
          <w:szCs w:val="22"/>
        </w:rPr>
        <w:t xml:space="preserve">that is a puzzle 0 </w:t>
      </w:r>
      <w:r>
        <w:rPr>
          <w:rFonts w:ascii="Calibri" w:eastAsia="Times New Roman" w:hAnsi="Calibri"/>
          <w:sz w:val="22"/>
          <w:szCs w:val="22"/>
        </w:rPr>
        <w:t>it is permissible for a forum to dismiss a sister state cause of action without prejudice</w:t>
      </w:r>
      <w:r w:rsidR="00AD65D5">
        <w:rPr>
          <w:rFonts w:ascii="Calibri" w:eastAsia="Times New Roman" w:hAnsi="Calibri"/>
          <w:sz w:val="22"/>
          <w:szCs w:val="22"/>
        </w:rPr>
        <w:t xml:space="preserve"> for lots of reasons</w:t>
      </w:r>
      <w:r>
        <w:rPr>
          <w:rFonts w:ascii="Calibri" w:eastAsia="Times New Roman" w:hAnsi="Calibri"/>
          <w:sz w:val="22"/>
          <w:szCs w:val="22"/>
        </w:rPr>
        <w:t xml:space="preserve"> -</w:t>
      </w:r>
      <w:r>
        <w:rPr>
          <w:rFonts w:ascii="Calibri" w:eastAsia="Times New Roman" w:hAnsi="Calibri"/>
          <w:i/>
          <w:iCs/>
          <w:sz w:val="22"/>
          <w:szCs w:val="22"/>
        </w:rPr>
        <w:t xml:space="preserve"> forum non </w:t>
      </w:r>
      <w:proofErr w:type="spellStart"/>
      <w:r>
        <w:rPr>
          <w:rFonts w:ascii="Calibri" w:eastAsia="Times New Roman" w:hAnsi="Calibri"/>
          <w:i/>
          <w:iCs/>
          <w:sz w:val="22"/>
          <w:szCs w:val="22"/>
        </w:rPr>
        <w:t>conveniens</w:t>
      </w:r>
      <w:proofErr w:type="spellEnd"/>
      <w:r>
        <w:rPr>
          <w:rFonts w:ascii="Calibri" w:eastAsia="Times New Roman" w:hAnsi="Calibri"/>
          <w:sz w:val="22"/>
          <w:szCs w:val="22"/>
        </w:rPr>
        <w:t>, public policy exception, statute of limitations, etc.</w:t>
      </w:r>
    </w:p>
    <w:p w:rsidR="00310784" w:rsidRDefault="00AD65D5" w:rsidP="00310784">
      <w:pPr>
        <w:numPr>
          <w:ilvl w:val="4"/>
          <w:numId w:val="8"/>
        </w:numPr>
        <w:ind w:left="2563"/>
        <w:textAlignment w:val="center"/>
        <w:rPr>
          <w:rFonts w:ascii="Calibri" w:eastAsia="Times New Roman" w:hAnsi="Calibri"/>
          <w:sz w:val="22"/>
          <w:szCs w:val="22"/>
        </w:rPr>
      </w:pPr>
      <w:r>
        <w:rPr>
          <w:rFonts w:ascii="Calibri" w:eastAsia="Times New Roman" w:hAnsi="Calibri"/>
          <w:sz w:val="22"/>
          <w:szCs w:val="22"/>
        </w:rPr>
        <w:t xml:space="preserve">The </w:t>
      </w:r>
      <w:proofErr w:type="spellStart"/>
      <w:r>
        <w:rPr>
          <w:rFonts w:ascii="Calibri" w:eastAsia="Times New Roman" w:hAnsi="Calibri"/>
          <w:sz w:val="22"/>
          <w:szCs w:val="22"/>
        </w:rPr>
        <w:t>SCt</w:t>
      </w:r>
      <w:proofErr w:type="spellEnd"/>
      <w:r>
        <w:rPr>
          <w:rFonts w:ascii="Calibri" w:eastAsia="Times New Roman" w:hAnsi="Calibri"/>
          <w:sz w:val="22"/>
          <w:szCs w:val="22"/>
        </w:rPr>
        <w:t xml:space="preserve"> distinguished the Public Policy Exception</w:t>
      </w:r>
    </w:p>
    <w:p w:rsidR="00310784" w:rsidRDefault="00310784" w:rsidP="00310784">
      <w:pPr>
        <w:numPr>
          <w:ilvl w:val="5"/>
          <w:numId w:val="9"/>
        </w:numPr>
        <w:ind w:left="3103"/>
        <w:textAlignment w:val="center"/>
        <w:rPr>
          <w:rFonts w:ascii="Calibri" w:eastAsia="Times New Roman" w:hAnsi="Calibri"/>
          <w:sz w:val="22"/>
          <w:szCs w:val="22"/>
        </w:rPr>
      </w:pPr>
      <w:r>
        <w:rPr>
          <w:rFonts w:ascii="Calibri" w:eastAsia="Times New Roman" w:hAnsi="Calibri"/>
          <w:sz w:val="22"/>
          <w:szCs w:val="22"/>
        </w:rPr>
        <w:t>“We hold that Wisconsin's policy must give way. That state has no real feeling of antagonism against wrongful death suits in general. To the contrary, a forum is regularly provided for cases of this nature, the exclusionary rule extending only so far as to bar actions for death not caused locally. “</w:t>
      </w:r>
    </w:p>
    <w:p w:rsidR="00310784" w:rsidRDefault="00310784" w:rsidP="00310784">
      <w:pPr>
        <w:numPr>
          <w:ilvl w:val="5"/>
          <w:numId w:val="9"/>
        </w:numPr>
        <w:ind w:left="3103"/>
        <w:textAlignment w:val="center"/>
        <w:rPr>
          <w:rFonts w:ascii="Calibri" w:eastAsia="Times New Roman" w:hAnsi="Calibri"/>
          <w:sz w:val="22"/>
          <w:szCs w:val="22"/>
        </w:rPr>
      </w:pPr>
      <w:r>
        <w:rPr>
          <w:rFonts w:ascii="Calibri" w:eastAsia="Times New Roman" w:hAnsi="Calibri"/>
          <w:sz w:val="22"/>
          <w:szCs w:val="22"/>
        </w:rPr>
        <w:t>Basically, Wisconsin has no public policy against wrongful death actions</w:t>
      </w:r>
    </w:p>
    <w:p w:rsidR="00310784" w:rsidRDefault="00AD65D5" w:rsidP="00310784">
      <w:pPr>
        <w:numPr>
          <w:ilvl w:val="4"/>
          <w:numId w:val="10"/>
        </w:numPr>
        <w:ind w:left="2563"/>
        <w:textAlignment w:val="center"/>
        <w:rPr>
          <w:rFonts w:ascii="Calibri" w:eastAsia="Times New Roman" w:hAnsi="Calibri"/>
          <w:sz w:val="22"/>
          <w:szCs w:val="22"/>
        </w:rPr>
      </w:pPr>
      <w:r>
        <w:rPr>
          <w:rFonts w:ascii="Calibri" w:eastAsia="Times New Roman" w:hAnsi="Calibri"/>
          <w:sz w:val="22"/>
          <w:szCs w:val="22"/>
        </w:rPr>
        <w:t xml:space="preserve">Dismissing under the </w:t>
      </w:r>
      <w:r w:rsidR="00310784">
        <w:rPr>
          <w:rFonts w:ascii="Calibri" w:eastAsia="Times New Roman" w:hAnsi="Calibri"/>
          <w:sz w:val="22"/>
          <w:szCs w:val="22"/>
        </w:rPr>
        <w:t>Forum’s</w:t>
      </w:r>
      <w:r>
        <w:rPr>
          <w:rFonts w:ascii="Calibri" w:eastAsia="Times New Roman" w:hAnsi="Calibri"/>
          <w:sz w:val="22"/>
          <w:szCs w:val="22"/>
        </w:rPr>
        <w:t xml:space="preserve"> Shorter Statute of Limitations is OK</w:t>
      </w:r>
    </w:p>
    <w:p w:rsidR="00310784" w:rsidRDefault="00310784" w:rsidP="00310784">
      <w:pPr>
        <w:numPr>
          <w:ilvl w:val="5"/>
          <w:numId w:val="11"/>
        </w:numPr>
        <w:ind w:left="3103"/>
        <w:textAlignment w:val="center"/>
        <w:rPr>
          <w:rFonts w:ascii="Calibri" w:eastAsia="Times New Roman" w:hAnsi="Calibri"/>
          <w:sz w:val="22"/>
          <w:szCs w:val="22"/>
        </w:rPr>
      </w:pPr>
      <w:r>
        <w:rPr>
          <w:rFonts w:ascii="Calibri" w:eastAsia="Times New Roman" w:hAnsi="Calibri"/>
          <w:sz w:val="22"/>
          <w:szCs w:val="22"/>
        </w:rPr>
        <w:t>Wells v. Simonds Abrasive (US 1953)</w:t>
      </w:r>
    </w:p>
    <w:p w:rsidR="00310784" w:rsidRDefault="00310784" w:rsidP="00310784">
      <w:pPr>
        <w:numPr>
          <w:ilvl w:val="6"/>
          <w:numId w:val="12"/>
        </w:numPr>
        <w:ind w:left="3643"/>
        <w:textAlignment w:val="center"/>
        <w:rPr>
          <w:rFonts w:ascii="Calibri" w:eastAsia="Times New Roman" w:hAnsi="Calibri"/>
          <w:sz w:val="22"/>
          <w:szCs w:val="22"/>
        </w:rPr>
      </w:pPr>
      <w:r>
        <w:rPr>
          <w:rFonts w:ascii="Calibri" w:eastAsia="Times New Roman" w:hAnsi="Calibri"/>
          <w:sz w:val="22"/>
          <w:szCs w:val="22"/>
        </w:rPr>
        <w:t>PA state court may apply its procedural limitations period to Alabama action even though Ala. substantive limitations period is longer</w:t>
      </w:r>
    </w:p>
    <w:p w:rsidR="00310784" w:rsidRDefault="00AD65D5" w:rsidP="00310784">
      <w:pPr>
        <w:numPr>
          <w:ilvl w:val="4"/>
          <w:numId w:val="13"/>
        </w:numPr>
        <w:ind w:left="2563"/>
        <w:textAlignment w:val="center"/>
        <w:rPr>
          <w:rFonts w:ascii="Calibri" w:eastAsia="Times New Roman" w:hAnsi="Calibri"/>
          <w:sz w:val="22"/>
          <w:szCs w:val="22"/>
        </w:rPr>
      </w:pPr>
      <w:r>
        <w:rPr>
          <w:rFonts w:ascii="Calibri" w:eastAsia="Times New Roman" w:hAnsi="Calibri"/>
          <w:sz w:val="22"/>
          <w:szCs w:val="22"/>
        </w:rPr>
        <w:t xml:space="preserve">The </w:t>
      </w:r>
      <w:proofErr w:type="spellStart"/>
      <w:r>
        <w:rPr>
          <w:rFonts w:ascii="Calibri" w:eastAsia="Times New Roman" w:hAnsi="Calibri"/>
          <w:sz w:val="22"/>
          <w:szCs w:val="22"/>
        </w:rPr>
        <w:t>SCt</w:t>
      </w:r>
      <w:proofErr w:type="spellEnd"/>
      <w:r>
        <w:rPr>
          <w:rFonts w:ascii="Calibri" w:eastAsia="Times New Roman" w:hAnsi="Calibri"/>
          <w:sz w:val="22"/>
          <w:szCs w:val="22"/>
        </w:rPr>
        <w:t xml:space="preserve"> distinguished the Forum Non </w:t>
      </w:r>
      <w:proofErr w:type="spellStart"/>
      <w:r>
        <w:rPr>
          <w:rFonts w:ascii="Calibri" w:eastAsia="Times New Roman" w:hAnsi="Calibri"/>
          <w:sz w:val="22"/>
          <w:szCs w:val="22"/>
        </w:rPr>
        <w:t>Conveniens</w:t>
      </w:r>
      <w:proofErr w:type="spellEnd"/>
    </w:p>
    <w:p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 xml:space="preserve">“The Wisconsin policy, moreover, cannot be considered as an application of the forum non </w:t>
      </w:r>
      <w:proofErr w:type="spellStart"/>
      <w:r>
        <w:rPr>
          <w:rFonts w:ascii="Calibri" w:eastAsia="Times New Roman" w:hAnsi="Calibri"/>
          <w:sz w:val="22"/>
          <w:szCs w:val="22"/>
        </w:rPr>
        <w:t>conveniens</w:t>
      </w:r>
      <w:proofErr w:type="spellEnd"/>
      <w:r>
        <w:rPr>
          <w:rFonts w:ascii="Calibri" w:eastAsia="Times New Roman" w:hAnsi="Calibri"/>
          <w:sz w:val="22"/>
          <w:szCs w:val="22"/>
        </w:rPr>
        <w:t xml:space="preserve"> doctrine, whatever effect that doctrine might be given if its use resulted in denying </w:t>
      </w:r>
      <w:r>
        <w:rPr>
          <w:rFonts w:ascii="Calibri" w:eastAsia="Times New Roman" w:hAnsi="Calibri"/>
          <w:sz w:val="22"/>
          <w:szCs w:val="22"/>
        </w:rPr>
        <w:lastRenderedPageBreak/>
        <w:t>enforcement to public acts of other states. Even if we assume that Wisconsin could refuse, by reason of particular circumstances, to hear foreign controversies to which nonresidents were parties, the present case is not one lacking a close relationship with the state. For not only were appellant, the decedent, and the individual defendant all residents of Wisconsin, but also appellant was appointed administrator, and the corporate defendant was created under Wisconsin laws.”</w:t>
      </w:r>
    </w:p>
    <w:p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 xml:space="preserve">Makes it sound as if dismissal would have been OK if it was based on the more nuanced questions of forum non </w:t>
      </w:r>
      <w:proofErr w:type="spellStart"/>
      <w:r>
        <w:rPr>
          <w:rFonts w:ascii="Calibri" w:eastAsia="Times New Roman" w:hAnsi="Calibri"/>
          <w:sz w:val="22"/>
          <w:szCs w:val="22"/>
        </w:rPr>
        <w:t>conveniens</w:t>
      </w:r>
      <w:proofErr w:type="spellEnd"/>
    </w:p>
    <w:p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But here the dismissal was merely on the basis of its being sister state law</w:t>
      </w:r>
    </w:p>
    <w:p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 xml:space="preserve">Can't discriminate sister state law simply because it is sister state law. </w:t>
      </w:r>
    </w:p>
    <w:p w:rsidR="00310784" w:rsidRDefault="00310784" w:rsidP="00310784">
      <w:pPr>
        <w:numPr>
          <w:ilvl w:val="4"/>
          <w:numId w:val="15"/>
        </w:numPr>
        <w:ind w:left="2563"/>
        <w:textAlignment w:val="center"/>
        <w:rPr>
          <w:rFonts w:ascii="Calibri" w:eastAsia="Times New Roman" w:hAnsi="Calibri"/>
          <w:sz w:val="22"/>
          <w:szCs w:val="22"/>
        </w:rPr>
      </w:pPr>
      <w:r>
        <w:rPr>
          <w:rFonts w:ascii="Calibri" w:eastAsia="Times New Roman" w:hAnsi="Calibri"/>
          <w:sz w:val="22"/>
          <w:szCs w:val="22"/>
        </w:rPr>
        <w:t>“We also think it relevant, although not crucial here, that Wisconsin may well be the only jurisdiction in which service could be had as an original matter on the insurance company defendant. And while in the present case jurisdiction over the individual defendant apparently could be had in Illinois by substituted service, in other cases, Wisconsin's exclusionary statute might amount to a deprivation of all opportunity to enforce valid death claims created by another state.”</w:t>
      </w:r>
    </w:p>
    <w:p w:rsidR="00310784" w:rsidRDefault="00310784" w:rsidP="00310784">
      <w:pPr>
        <w:numPr>
          <w:ilvl w:val="5"/>
          <w:numId w:val="16"/>
        </w:numPr>
        <w:ind w:left="3103"/>
        <w:textAlignment w:val="center"/>
        <w:rPr>
          <w:rFonts w:ascii="Calibri" w:eastAsia="Times New Roman" w:hAnsi="Calibri"/>
          <w:sz w:val="22"/>
          <w:szCs w:val="22"/>
        </w:rPr>
      </w:pPr>
      <w:r>
        <w:rPr>
          <w:rFonts w:ascii="Calibri" w:eastAsia="Times New Roman" w:hAnsi="Calibri"/>
          <w:sz w:val="22"/>
          <w:szCs w:val="22"/>
        </w:rPr>
        <w:t xml:space="preserve">May be an obligation to take a case if that state is the only possible forum. </w:t>
      </w:r>
    </w:p>
    <w:p w:rsidR="00AD65D5" w:rsidRDefault="00AD65D5" w:rsidP="00310784">
      <w:pPr>
        <w:numPr>
          <w:ilvl w:val="5"/>
          <w:numId w:val="16"/>
        </w:numPr>
        <w:ind w:left="3103"/>
        <w:textAlignment w:val="center"/>
        <w:rPr>
          <w:rFonts w:ascii="Calibri" w:eastAsia="Times New Roman" w:hAnsi="Calibri"/>
          <w:sz w:val="22"/>
          <w:szCs w:val="22"/>
        </w:rPr>
      </w:pPr>
      <w:r>
        <w:rPr>
          <w:rFonts w:ascii="Calibri" w:eastAsia="Times New Roman" w:hAnsi="Calibri"/>
          <w:sz w:val="22"/>
          <w:szCs w:val="22"/>
        </w:rPr>
        <w:t>Necessity jurisdiction creates the power to take a case (even if Int’l Shoe is not satisfied) because there is no other forum</w:t>
      </w:r>
    </w:p>
    <w:p w:rsidR="00AD65D5" w:rsidRDefault="00AD65D5" w:rsidP="00310784">
      <w:pPr>
        <w:numPr>
          <w:ilvl w:val="5"/>
          <w:numId w:val="16"/>
        </w:numPr>
        <w:ind w:left="3103"/>
        <w:textAlignment w:val="center"/>
        <w:rPr>
          <w:rFonts w:ascii="Calibri" w:eastAsia="Times New Roman" w:hAnsi="Calibri"/>
          <w:sz w:val="22"/>
          <w:szCs w:val="22"/>
        </w:rPr>
      </w:pPr>
      <w:r>
        <w:rPr>
          <w:rFonts w:ascii="Calibri" w:eastAsia="Times New Roman" w:hAnsi="Calibri"/>
          <w:sz w:val="22"/>
          <w:szCs w:val="22"/>
        </w:rPr>
        <w:t>Perhaps there is also a duty, at least with respect to sister state actions</w:t>
      </w:r>
    </w:p>
    <w:p w:rsidR="00310784" w:rsidRDefault="00310784" w:rsidP="00310784">
      <w:pPr>
        <w:numPr>
          <w:ilvl w:val="4"/>
          <w:numId w:val="17"/>
        </w:numPr>
        <w:ind w:left="2563"/>
        <w:textAlignment w:val="center"/>
        <w:rPr>
          <w:rFonts w:ascii="Calibri" w:eastAsia="Times New Roman" w:hAnsi="Calibri"/>
          <w:sz w:val="22"/>
          <w:szCs w:val="22"/>
        </w:rPr>
      </w:pPr>
      <w:r>
        <w:rPr>
          <w:rFonts w:ascii="Calibri" w:eastAsia="Times New Roman" w:hAnsi="Calibri"/>
          <w:color w:val="000000"/>
          <w:sz w:val="22"/>
          <w:szCs w:val="22"/>
        </w:rPr>
        <w:t>Assume Wisconsin court had applied Wisconsin law and then dismissed with prejudice for failure to state a claim because the accident was not in Wisconsin:</w:t>
      </w:r>
    </w:p>
    <w:p w:rsidR="00310784" w:rsidRDefault="00310784" w:rsidP="00310784">
      <w:pPr>
        <w:numPr>
          <w:ilvl w:val="5"/>
          <w:numId w:val="18"/>
        </w:numPr>
        <w:ind w:left="3103"/>
        <w:textAlignment w:val="center"/>
        <w:rPr>
          <w:rFonts w:ascii="Calibri" w:eastAsia="Times New Roman" w:hAnsi="Calibri"/>
          <w:sz w:val="22"/>
          <w:szCs w:val="22"/>
        </w:rPr>
      </w:pPr>
      <w:r>
        <w:rPr>
          <w:rFonts w:ascii="Calibri" w:eastAsia="Times New Roman" w:hAnsi="Calibri"/>
          <w:color w:val="000000"/>
          <w:sz w:val="22"/>
          <w:szCs w:val="22"/>
        </w:rPr>
        <w:t xml:space="preserve">This would apparently be permissible. The parties would be applying Wisconsin law. Wisconsin had a constitutionally permissible interest. </w:t>
      </w:r>
    </w:p>
    <w:p w:rsidR="00310784" w:rsidRPr="00AD65D5" w:rsidRDefault="00310784" w:rsidP="00310784">
      <w:pPr>
        <w:numPr>
          <w:ilvl w:val="5"/>
          <w:numId w:val="18"/>
        </w:numPr>
        <w:ind w:left="3103"/>
        <w:textAlignment w:val="center"/>
        <w:rPr>
          <w:rFonts w:ascii="Calibri" w:eastAsia="Times New Roman" w:hAnsi="Calibri"/>
          <w:sz w:val="22"/>
          <w:szCs w:val="22"/>
        </w:rPr>
      </w:pPr>
      <w:r>
        <w:rPr>
          <w:rFonts w:ascii="Calibri" w:eastAsia="Times New Roman" w:hAnsi="Calibri"/>
          <w:color w:val="000000"/>
          <w:sz w:val="22"/>
          <w:szCs w:val="22"/>
        </w:rPr>
        <w:t>"The present case is not one where Wisconsin, having entertained appellant's lawsuit, chose to apply its own, instead of Illinois', statute to measure the substantive rights involved. This distinguishes the present case from those where we have said that, '[p]</w:t>
      </w:r>
      <w:proofErr w:type="spellStart"/>
      <w:r>
        <w:rPr>
          <w:rFonts w:ascii="Calibri" w:eastAsia="Times New Roman" w:hAnsi="Calibri"/>
          <w:color w:val="000000"/>
          <w:sz w:val="22"/>
          <w:szCs w:val="22"/>
        </w:rPr>
        <w:t>rima</w:t>
      </w:r>
      <w:proofErr w:type="spellEnd"/>
      <w:r>
        <w:rPr>
          <w:rFonts w:ascii="Calibri" w:eastAsia="Times New Roman" w:hAnsi="Calibri"/>
          <w:color w:val="000000"/>
          <w:sz w:val="22"/>
          <w:szCs w:val="22"/>
        </w:rPr>
        <w:t xml:space="preserve"> facie, every state is entitled to enforce in its own courts its own statutes, lawfully enacted.'" </w:t>
      </w:r>
    </w:p>
    <w:p w:rsidR="00AD65D5" w:rsidRDefault="00AD65D5" w:rsidP="00310784">
      <w:pPr>
        <w:numPr>
          <w:ilvl w:val="5"/>
          <w:numId w:val="18"/>
        </w:numPr>
        <w:ind w:left="3103"/>
        <w:textAlignment w:val="center"/>
        <w:rPr>
          <w:rFonts w:ascii="Calibri" w:eastAsia="Times New Roman" w:hAnsi="Calibri"/>
          <w:sz w:val="22"/>
          <w:szCs w:val="22"/>
        </w:rPr>
      </w:pPr>
      <w:r>
        <w:rPr>
          <w:rFonts w:ascii="Calibri" w:eastAsia="Times New Roman" w:hAnsi="Calibri"/>
          <w:color w:val="000000"/>
          <w:sz w:val="22"/>
          <w:szCs w:val="22"/>
        </w:rPr>
        <w:t xml:space="preserve">Green: but this is bizarre – it would mean that </w:t>
      </w:r>
      <w:proofErr w:type="spellStart"/>
      <w:r>
        <w:rPr>
          <w:rFonts w:ascii="Calibri" w:eastAsia="Times New Roman" w:hAnsi="Calibri"/>
          <w:color w:val="000000"/>
          <w:sz w:val="22"/>
          <w:szCs w:val="22"/>
        </w:rPr>
        <w:t>Wisc</w:t>
      </w:r>
      <w:proofErr w:type="spellEnd"/>
      <w:r>
        <w:rPr>
          <w:rFonts w:ascii="Calibri" w:eastAsia="Times New Roman" w:hAnsi="Calibri"/>
          <w:color w:val="000000"/>
          <w:sz w:val="22"/>
          <w:szCs w:val="22"/>
        </w:rPr>
        <w:t xml:space="preserve"> law is such that </w:t>
      </w:r>
      <w:proofErr w:type="spellStart"/>
      <w:r>
        <w:rPr>
          <w:rFonts w:ascii="Calibri" w:eastAsia="Times New Roman" w:hAnsi="Calibri"/>
          <w:color w:val="000000"/>
          <w:sz w:val="22"/>
          <w:szCs w:val="22"/>
        </w:rPr>
        <w:t>Wisconsiners</w:t>
      </w:r>
      <w:proofErr w:type="spellEnd"/>
      <w:r>
        <w:rPr>
          <w:rFonts w:ascii="Calibri" w:eastAsia="Times New Roman" w:hAnsi="Calibri"/>
          <w:color w:val="000000"/>
          <w:sz w:val="22"/>
          <w:szCs w:val="22"/>
        </w:rPr>
        <w:t xml:space="preserve"> are not protected from wrongful death outside the state…</w:t>
      </w:r>
    </w:p>
    <w:p w:rsidR="00A801FB" w:rsidRPr="00A801FB" w:rsidRDefault="00A801FB" w:rsidP="00310784">
      <w:pPr>
        <w:numPr>
          <w:ilvl w:val="4"/>
          <w:numId w:val="19"/>
        </w:numPr>
        <w:ind w:left="2563"/>
        <w:textAlignment w:val="center"/>
        <w:rPr>
          <w:rFonts w:ascii="Calibri" w:eastAsia="Times New Roman" w:hAnsi="Calibri"/>
          <w:sz w:val="22"/>
          <w:szCs w:val="22"/>
        </w:rPr>
      </w:pPr>
      <w:r>
        <w:rPr>
          <w:rFonts w:ascii="Calibri" w:eastAsia="Times New Roman" w:hAnsi="Calibri"/>
          <w:color w:val="000000"/>
          <w:sz w:val="22"/>
          <w:szCs w:val="22"/>
        </w:rPr>
        <w:t xml:space="preserve">The problem in Hughes is that the motivations of the </w:t>
      </w:r>
      <w:proofErr w:type="spellStart"/>
      <w:r>
        <w:rPr>
          <w:rFonts w:ascii="Calibri" w:eastAsia="Times New Roman" w:hAnsi="Calibri"/>
          <w:color w:val="000000"/>
          <w:sz w:val="22"/>
          <w:szCs w:val="22"/>
        </w:rPr>
        <w:t>Wisc</w:t>
      </w:r>
      <w:proofErr w:type="spellEnd"/>
      <w:r>
        <w:rPr>
          <w:rFonts w:ascii="Calibri" w:eastAsia="Times New Roman" w:hAnsi="Calibri"/>
          <w:color w:val="000000"/>
          <w:sz w:val="22"/>
          <w:szCs w:val="22"/>
        </w:rPr>
        <w:t xml:space="preserve"> court appeared to be like those standing behind forum non </w:t>
      </w:r>
      <w:proofErr w:type="spellStart"/>
      <w:r>
        <w:rPr>
          <w:rFonts w:ascii="Calibri" w:eastAsia="Times New Roman" w:hAnsi="Calibri"/>
          <w:color w:val="000000"/>
          <w:sz w:val="22"/>
          <w:szCs w:val="22"/>
        </w:rPr>
        <w:t>conveniens</w:t>
      </w:r>
      <w:proofErr w:type="spellEnd"/>
      <w:r>
        <w:rPr>
          <w:rFonts w:ascii="Calibri" w:eastAsia="Times New Roman" w:hAnsi="Calibri"/>
          <w:color w:val="000000"/>
          <w:sz w:val="22"/>
          <w:szCs w:val="22"/>
        </w:rPr>
        <w:t xml:space="preserve"> </w:t>
      </w:r>
    </w:p>
    <w:p w:rsidR="00A801FB" w:rsidRPr="00A801FB" w:rsidRDefault="00A801FB" w:rsidP="00A801FB">
      <w:pPr>
        <w:ind w:left="4320"/>
        <w:textAlignment w:val="center"/>
        <w:rPr>
          <w:rFonts w:ascii="Calibri" w:eastAsia="Times New Roman" w:hAnsi="Calibri"/>
          <w:sz w:val="22"/>
          <w:szCs w:val="22"/>
        </w:rPr>
      </w:pPr>
      <w:r>
        <w:rPr>
          <w:rFonts w:ascii="Calibri" w:eastAsia="Times New Roman" w:hAnsi="Calibri"/>
          <w:color w:val="000000"/>
          <w:sz w:val="22"/>
          <w:szCs w:val="22"/>
        </w:rPr>
        <w:t>So what is wrong about what they did?</w:t>
      </w:r>
    </w:p>
    <w:p w:rsidR="00A801FB" w:rsidRPr="00A801FB" w:rsidRDefault="00A801FB" w:rsidP="00A801FB">
      <w:pPr>
        <w:pStyle w:val="ListParagraph"/>
        <w:numPr>
          <w:ilvl w:val="0"/>
          <w:numId w:val="30"/>
        </w:numPr>
        <w:textAlignment w:val="center"/>
        <w:rPr>
          <w:rFonts w:ascii="Calibri" w:eastAsia="Times New Roman" w:hAnsi="Calibri"/>
          <w:sz w:val="22"/>
          <w:szCs w:val="22"/>
        </w:rPr>
      </w:pPr>
      <w:r>
        <w:rPr>
          <w:rFonts w:ascii="Calibri" w:eastAsia="Times New Roman" w:hAnsi="Calibri"/>
          <w:sz w:val="22"/>
          <w:szCs w:val="22"/>
        </w:rPr>
        <w:t xml:space="preserve">Problem is that they used a </w:t>
      </w:r>
      <w:r w:rsidRPr="00A801FB">
        <w:rPr>
          <w:rFonts w:ascii="Calibri" w:eastAsia="Times New Roman" w:hAnsi="Calibri"/>
          <w:sz w:val="22"/>
          <w:szCs w:val="22"/>
        </w:rPr>
        <w:t xml:space="preserve">suspect category </w:t>
      </w:r>
      <w:r>
        <w:rPr>
          <w:rFonts w:ascii="Calibri" w:eastAsia="Times New Roman" w:hAnsi="Calibri"/>
          <w:sz w:val="22"/>
          <w:szCs w:val="22"/>
        </w:rPr>
        <w:t>discriminating against sister state law</w:t>
      </w:r>
    </w:p>
    <w:p w:rsidR="00310784" w:rsidRDefault="00310784" w:rsidP="00310784">
      <w:pPr>
        <w:numPr>
          <w:ilvl w:val="4"/>
          <w:numId w:val="19"/>
        </w:numPr>
        <w:ind w:left="2563"/>
        <w:textAlignment w:val="center"/>
        <w:rPr>
          <w:rFonts w:ascii="Calibri" w:eastAsia="Times New Roman" w:hAnsi="Calibri"/>
          <w:sz w:val="22"/>
          <w:szCs w:val="22"/>
        </w:rPr>
      </w:pPr>
      <w:r>
        <w:rPr>
          <w:rFonts w:ascii="Calibri" w:eastAsia="Times New Roman" w:hAnsi="Calibri"/>
          <w:color w:val="000000"/>
          <w:sz w:val="22"/>
          <w:szCs w:val="22"/>
        </w:rPr>
        <w:t xml:space="preserve">"A state may not 'discriminate' against foreign law by refusing to enforce it unless the state (a) has a sufficient justification and (b) tailors the discrimination to fit that justification. The fact that the state has a </w:t>
      </w:r>
      <w:r>
        <w:rPr>
          <w:rFonts w:ascii="Calibri" w:eastAsia="Times New Roman" w:hAnsi="Calibri"/>
          <w:color w:val="000000"/>
          <w:sz w:val="22"/>
          <w:szCs w:val="22"/>
        </w:rPr>
        <w:lastRenderedPageBreak/>
        <w:t xml:space="preserve">substantive interest and applies its own substantive law always satisfies these requirements. Concern for the conduct of litigation in the state's courts may constitute an adequate justification. But if the mechanism chosen to further this interest is overbroad, it will be struck down. The law in Hughes was thus found unconstitutional because it treated every claim based on foreign law as inconvenient, while forum non </w:t>
      </w:r>
      <w:proofErr w:type="spellStart"/>
      <w:r>
        <w:rPr>
          <w:rFonts w:ascii="Calibri" w:eastAsia="Times New Roman" w:hAnsi="Calibri"/>
          <w:color w:val="000000"/>
          <w:sz w:val="22"/>
          <w:szCs w:val="22"/>
        </w:rPr>
        <w:t>conveniens</w:t>
      </w:r>
      <w:proofErr w:type="spellEnd"/>
      <w:r>
        <w:rPr>
          <w:rFonts w:ascii="Calibri" w:eastAsia="Times New Roman" w:hAnsi="Calibri"/>
          <w:color w:val="000000"/>
          <w:sz w:val="22"/>
          <w:szCs w:val="22"/>
        </w:rPr>
        <w:t xml:space="preserve"> is permissible because it furthers the state's legitimate interests in a way that is narrowly tailored to prevent undue discrimination. </w:t>
      </w:r>
    </w:p>
    <w:p w:rsidR="00310784" w:rsidRDefault="00310784" w:rsidP="00310784">
      <w:pPr>
        <w:numPr>
          <w:ilvl w:val="2"/>
          <w:numId w:val="20"/>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Br</w:t>
      </w:r>
      <w:r w:rsidR="00A801FB">
        <w:rPr>
          <w:rFonts w:ascii="Calibri" w:eastAsia="Times New Roman" w:hAnsi="Calibri"/>
          <w:color w:val="000000"/>
          <w:sz w:val="22"/>
          <w:szCs w:val="22"/>
        </w:rPr>
        <w:t xml:space="preserve">oderick v </w:t>
      </w:r>
      <w:proofErr w:type="spellStart"/>
      <w:r w:rsidR="00A801FB">
        <w:rPr>
          <w:rFonts w:ascii="Calibri" w:eastAsia="Times New Roman" w:hAnsi="Calibri"/>
          <w:color w:val="000000"/>
          <w:sz w:val="22"/>
          <w:szCs w:val="22"/>
        </w:rPr>
        <w:t>Rosner</w:t>
      </w:r>
      <w:proofErr w:type="spellEnd"/>
      <w:r w:rsidR="00A801FB">
        <w:rPr>
          <w:rFonts w:ascii="Calibri" w:eastAsia="Times New Roman" w:hAnsi="Calibri"/>
          <w:color w:val="000000"/>
          <w:sz w:val="22"/>
          <w:szCs w:val="22"/>
        </w:rPr>
        <w:t xml:space="preserve"> (1935) -</w:t>
      </w:r>
    </w:p>
    <w:p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NY law allows piercing the corporate veil concerning NY banks to get to shareholders</w:t>
      </w:r>
    </w:p>
    <w:p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NJ doesn’t like this and wants to protect NJ shareholders</w:t>
      </w:r>
    </w:p>
    <w:p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Sets up impossible procedural hurdle: Only way in which one could pierce corporate veil for banks in a NJ court is to have all parties present (all officers stockholders debtors and creditors)</w:t>
      </w:r>
    </w:p>
    <w:p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Suit in NJ against New Jersey shareholders of NY bank</w:t>
      </w:r>
    </w:p>
    <w:p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Supreme Court concludes that this is a violation of Full Faith and Credit. This procedural hurdle is a form of discrimination against sister state law. This was a neutral law with a discriminatory effect. </w:t>
      </w:r>
    </w:p>
    <w:p w:rsidR="00310784" w:rsidRDefault="00310784" w:rsidP="00310784">
      <w:pPr>
        <w:numPr>
          <w:ilvl w:val="4"/>
          <w:numId w:val="21"/>
        </w:numPr>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Green: But NJ doesn’t hate sister state causes of action. NJ just doesn’t like people piercing the corporate veil. </w:t>
      </w:r>
    </w:p>
    <w:p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Perhaps there is a different justification of the case. Not about discrimination against sister state law.  New Jersey might simply have no legitimate interest in applying its law.  Since only New York law can apply, New Jersey can’t erect procedural barriers to thwart this. Might be wrong to have anything but one law apply to the internal affairs of a corporation. Can't have different laws applying to different shareholders. They need to all be treated the same. Might be constitutionally mandated that the internal affairs doctrine that applies to a corporation is determined by the state of incorporation. </w:t>
      </w:r>
      <w:r w:rsidR="00A801FB">
        <w:rPr>
          <w:rFonts w:ascii="Calibri" w:eastAsia="Times New Roman" w:hAnsi="Calibri"/>
          <w:color w:val="000000"/>
          <w:sz w:val="22"/>
          <w:szCs w:val="22"/>
        </w:rPr>
        <w:t>This would be an exception to Allstate</w:t>
      </w:r>
      <w:r>
        <w:rPr>
          <w:rFonts w:ascii="Calibri" w:eastAsia="Times New Roman" w:hAnsi="Calibri"/>
          <w:color w:val="000000"/>
          <w:sz w:val="22"/>
          <w:szCs w:val="22"/>
        </w:rPr>
        <w:t xml:space="preserve"> </w:t>
      </w:r>
    </w:p>
    <w:p w:rsidR="00310784" w:rsidRDefault="00310784" w:rsidP="00310784">
      <w:pPr>
        <w:numPr>
          <w:ilvl w:val="2"/>
          <w:numId w:val="22"/>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Tennessee Coal, Iron &amp; RR Co v George (US 1914) - page 392</w:t>
      </w:r>
    </w:p>
    <w:p w:rsidR="00310784" w:rsidRDefault="00310784" w:rsidP="00310784">
      <w:pPr>
        <w:numPr>
          <w:ilvl w:val="3"/>
          <w:numId w:val="23"/>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Issue: when can </w:t>
      </w:r>
      <w:proofErr w:type="gramStart"/>
      <w:r>
        <w:rPr>
          <w:rFonts w:ascii="Calibri" w:eastAsia="Times New Roman" w:hAnsi="Calibri"/>
          <w:color w:val="000000"/>
          <w:sz w:val="22"/>
          <w:szCs w:val="22"/>
        </w:rPr>
        <w:t>a  state</w:t>
      </w:r>
      <w:proofErr w:type="gramEnd"/>
      <w:r>
        <w:rPr>
          <w:rFonts w:ascii="Calibri" w:eastAsia="Times New Roman" w:hAnsi="Calibri"/>
          <w:color w:val="000000"/>
          <w:sz w:val="22"/>
          <w:szCs w:val="22"/>
        </w:rPr>
        <w:t xml:space="preserve"> make it impermiss</w:t>
      </w:r>
      <w:r w:rsidR="00032CFC">
        <w:rPr>
          <w:rFonts w:ascii="Calibri" w:eastAsia="Times New Roman" w:hAnsi="Calibri"/>
          <w:color w:val="000000"/>
          <w:sz w:val="22"/>
          <w:szCs w:val="22"/>
        </w:rPr>
        <w:t xml:space="preserve">ible for sister states to take its cause of </w:t>
      </w:r>
      <w:proofErr w:type="spellStart"/>
      <w:r w:rsidR="00032CFC">
        <w:rPr>
          <w:rFonts w:ascii="Calibri" w:eastAsia="Times New Roman" w:hAnsi="Calibri"/>
          <w:color w:val="000000"/>
          <w:sz w:val="22"/>
          <w:szCs w:val="22"/>
        </w:rPr>
        <w:t>actio</w:t>
      </w:r>
      <w:r>
        <w:rPr>
          <w:rFonts w:ascii="Calibri" w:eastAsia="Times New Roman" w:hAnsi="Calibri"/>
          <w:color w:val="000000"/>
          <w:sz w:val="22"/>
          <w:szCs w:val="22"/>
        </w:rPr>
        <w:t>s</w:t>
      </w:r>
      <w:proofErr w:type="spellEnd"/>
      <w:r>
        <w:rPr>
          <w:rFonts w:ascii="Calibri" w:eastAsia="Times New Roman" w:hAnsi="Calibri"/>
          <w:color w:val="000000"/>
          <w:sz w:val="22"/>
          <w:szCs w:val="22"/>
        </w:rPr>
        <w:t xml:space="preserve">. </w:t>
      </w:r>
    </w:p>
    <w:p w:rsidR="00310784" w:rsidRDefault="00310784" w:rsidP="00310784">
      <w:pPr>
        <w:numPr>
          <w:ilvl w:val="3"/>
          <w:numId w:val="23"/>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George injured in Alabama. Brought suit in Georgia. Sued under Alabama law, which limited that cause of action to only be heard by courts in the Alabama. </w:t>
      </w:r>
    </w:p>
    <w:p w:rsidR="00310784" w:rsidRDefault="00310784" w:rsidP="00310784">
      <w:pPr>
        <w:numPr>
          <w:ilvl w:val="3"/>
          <w:numId w:val="23"/>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Court held that Georgia court could take the case</w:t>
      </w:r>
    </w:p>
    <w:p w:rsidR="00310784" w:rsidRDefault="00310784" w:rsidP="00310784">
      <w:pPr>
        <w:numPr>
          <w:ilvl w:val="3"/>
          <w:numId w:val="23"/>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"There are many cases where right and remedy are so united that the right cannot be enforced except in the manner and before the tribunal designated by the act. For the rule is well settled that "where the provision for the liability is coupled with a provision for the special remedy, that remedy, that alone, must be employed." But that rule has no application to a case arising under the Alabama Code relating to suits for injuries caused by defective machinery. [I]t is … evident that the place of bringing the suit is not part of the cause of action -- the right and the remedy are not so inseparably united as to make the right dependent upon its being enforced in a particular tribunal. The cause of action is transitory, and, like any other transitory action, can be enforced 'in any court of competent jurisdiction within the State of Alabama. . . .'"</w:t>
      </w:r>
    </w:p>
    <w:p w:rsidR="00310784" w:rsidRDefault="00310784" w:rsidP="00310784">
      <w:pPr>
        <w:numPr>
          <w:ilvl w:val="3"/>
          <w:numId w:val="23"/>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lastRenderedPageBreak/>
        <w:t>The court held that Alabama cause of action was transitory and that a Georgia court could hear this cause of action.</w:t>
      </w:r>
    </w:p>
    <w:p w:rsidR="00310784" w:rsidRDefault="00032CFC" w:rsidP="00310784">
      <w:pPr>
        <w:numPr>
          <w:ilvl w:val="3"/>
          <w:numId w:val="23"/>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NOTE: </w:t>
      </w:r>
      <w:r w:rsidR="00310784">
        <w:rPr>
          <w:rFonts w:ascii="Calibri" w:eastAsia="Times New Roman" w:hAnsi="Calibri"/>
          <w:color w:val="000000"/>
          <w:sz w:val="22"/>
          <w:szCs w:val="22"/>
        </w:rPr>
        <w:t xml:space="preserve">Any state cause of action is vertically transitory, in the sense that a Federal Court has the power to take it under diversity.  The court suggests that a state can make a statute not be transitory horizontally if the state stated a specific court in which the cause of action could be brought.  </w:t>
      </w:r>
    </w:p>
    <w:p w:rsidR="00310784" w:rsidRDefault="00310784" w:rsidP="00310784">
      <w:pPr>
        <w:numPr>
          <w:ilvl w:val="2"/>
          <w:numId w:val="24"/>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Crider v </w:t>
      </w:r>
      <w:r w:rsidR="00032CFC">
        <w:rPr>
          <w:rFonts w:ascii="Calibri" w:eastAsia="Times New Roman" w:hAnsi="Calibri"/>
          <w:color w:val="000000"/>
          <w:sz w:val="22"/>
          <w:szCs w:val="22"/>
        </w:rPr>
        <w:t xml:space="preserve">Zurich Ins Co (US 1965) - </w:t>
      </w:r>
    </w:p>
    <w:p w:rsidR="00310784" w:rsidRDefault="00310784" w:rsidP="00310784">
      <w:pPr>
        <w:numPr>
          <w:ilvl w:val="3"/>
          <w:numId w:val="25"/>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Alabaman injured in Ala while working for Ga corporation</w:t>
      </w:r>
    </w:p>
    <w:p w:rsidR="00310784" w:rsidRDefault="00310784" w:rsidP="00310784">
      <w:pPr>
        <w:numPr>
          <w:ilvl w:val="3"/>
          <w:numId w:val="25"/>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Ala Ct awarded remedy under Ga workers comp statute even though Ga statute said action had to be brought before Ga Comp board. So the action must be brought before a particular administrative agency in Georgia. It is</w:t>
      </w:r>
      <w:r w:rsidR="00032CFC">
        <w:rPr>
          <w:rFonts w:ascii="Calibri" w:eastAsia="Times New Roman" w:hAnsi="Calibri"/>
          <w:color w:val="000000"/>
          <w:sz w:val="22"/>
          <w:szCs w:val="22"/>
        </w:rPr>
        <w:t>, in effect,</w:t>
      </w:r>
      <w:r>
        <w:rPr>
          <w:rFonts w:ascii="Calibri" w:eastAsia="Times New Roman" w:hAnsi="Calibri"/>
          <w:color w:val="000000"/>
          <w:sz w:val="22"/>
          <w:szCs w:val="22"/>
        </w:rPr>
        <w:t xml:space="preserve"> bound up with the Georgia cause of action under Tennessee Coal</w:t>
      </w:r>
    </w:p>
    <w:p w:rsidR="00310784" w:rsidRDefault="00032CFC" w:rsidP="00310784">
      <w:pPr>
        <w:numPr>
          <w:ilvl w:val="3"/>
          <w:numId w:val="25"/>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But court says, t</w:t>
      </w:r>
      <w:r w:rsidR="00310784">
        <w:rPr>
          <w:rFonts w:ascii="Calibri" w:eastAsia="Times New Roman" w:hAnsi="Calibri"/>
          <w:color w:val="000000"/>
          <w:sz w:val="22"/>
          <w:szCs w:val="22"/>
        </w:rPr>
        <w:t>he rule of Tennessee Coal “has been eroded by the line of cases beginning with Alaska Packers and Pacific Insurance.”</w:t>
      </w:r>
    </w:p>
    <w:p w:rsidR="00310784" w:rsidRDefault="00310784" w:rsidP="00310784">
      <w:pPr>
        <w:numPr>
          <w:ilvl w:val="3"/>
          <w:numId w:val="25"/>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Supreme Court allowed Alabama to hear the case anyways. </w:t>
      </w:r>
    </w:p>
    <w:p w:rsidR="00310784" w:rsidRDefault="00310784" w:rsidP="00310784">
      <w:pPr>
        <w:numPr>
          <w:ilvl w:val="3"/>
          <w:numId w:val="25"/>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appeal two Pacific Insurance suggests that Alabama has a sufficient interest to apply its own law instead of Georgia law. An Alabama Court is not bound by the Georgia law because it can replace it with an Alabama law. </w:t>
      </w:r>
    </w:p>
    <w:p w:rsidR="00310784" w:rsidRDefault="00310784" w:rsidP="00310784">
      <w:pPr>
        <w:numPr>
          <w:ilvl w:val="3"/>
          <w:numId w:val="25"/>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As long as the forum has a pacific employers interest in applying its own law, then it can displace the sister state rule that requires the case to be before a specific court or agency. </w:t>
      </w:r>
    </w:p>
    <w:p w:rsidR="00310784" w:rsidRDefault="00310784" w:rsidP="00310784">
      <w:pPr>
        <w:numPr>
          <w:ilvl w:val="3"/>
          <w:numId w:val="25"/>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court carved out part of the Georgia law and replaced it with Alabama law so that the case could be brought in Alabama. </w:t>
      </w:r>
    </w:p>
    <w:p w:rsidR="00310784" w:rsidRDefault="008871A4" w:rsidP="00310784">
      <w:pPr>
        <w:numPr>
          <w:ilvl w:val="3"/>
          <w:numId w:val="25"/>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So - </w:t>
      </w:r>
      <w:r w:rsidR="00310784">
        <w:rPr>
          <w:rFonts w:ascii="Calibri" w:eastAsia="Times New Roman" w:hAnsi="Calibri"/>
          <w:color w:val="000000"/>
          <w:sz w:val="22"/>
          <w:szCs w:val="22"/>
        </w:rPr>
        <w:t xml:space="preserve">A forum only needs to respect the sister state's requirement that a COA be brought in a specific location when the forum state does not have a Pacific Employers interest in the cause of action. </w:t>
      </w:r>
    </w:p>
    <w:p w:rsidR="00310784" w:rsidRDefault="00310784" w:rsidP="00310784">
      <w:pPr>
        <w:ind w:left="2023"/>
        <w:textAlignment w:val="center"/>
        <w:rPr>
          <w:rFonts w:ascii="Calibri" w:eastAsia="Times New Roman" w:hAnsi="Calibri"/>
          <w:color w:val="000000"/>
          <w:sz w:val="22"/>
          <w:szCs w:val="22"/>
        </w:rPr>
      </w:pPr>
    </w:p>
    <w:p w:rsidR="00310784" w:rsidRDefault="008871A4" w:rsidP="00310784">
      <w:pPr>
        <w:numPr>
          <w:ilvl w:val="2"/>
          <w:numId w:val="26"/>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Compare: </w:t>
      </w:r>
      <w:r w:rsidR="00310784">
        <w:rPr>
          <w:rFonts w:ascii="Calibri" w:eastAsia="Times New Roman" w:hAnsi="Calibri"/>
          <w:color w:val="000000"/>
          <w:sz w:val="22"/>
          <w:szCs w:val="22"/>
        </w:rPr>
        <w:t>Pearson v NE Airlines (2d Cir. 1962)</w:t>
      </w:r>
    </w:p>
    <w:p w:rsidR="00310784" w:rsidRDefault="00310784" w:rsidP="00310784">
      <w:pPr>
        <w:numPr>
          <w:ilvl w:val="3"/>
          <w:numId w:val="27"/>
        </w:numPr>
        <w:ind w:left="2023"/>
        <w:textAlignment w:val="center"/>
        <w:rPr>
          <w:rFonts w:ascii="Calibri" w:eastAsia="Times New Roman" w:hAnsi="Calibri"/>
          <w:color w:val="000000"/>
          <w:sz w:val="22"/>
          <w:szCs w:val="22"/>
        </w:rPr>
      </w:pPr>
      <w:proofErr w:type="spellStart"/>
      <w:r>
        <w:rPr>
          <w:rFonts w:ascii="Calibri" w:eastAsia="Times New Roman" w:hAnsi="Calibri"/>
          <w:color w:val="000000"/>
          <w:sz w:val="22"/>
          <w:szCs w:val="22"/>
        </w:rPr>
        <w:t>NYer</w:t>
      </w:r>
      <w:proofErr w:type="spellEnd"/>
      <w:r>
        <w:rPr>
          <w:rFonts w:ascii="Calibri" w:eastAsia="Times New Roman" w:hAnsi="Calibri"/>
          <w:color w:val="000000"/>
          <w:sz w:val="22"/>
          <w:szCs w:val="22"/>
        </w:rPr>
        <w:t xml:space="preserve"> killed in place crash in Mass </w:t>
      </w:r>
    </w:p>
    <w:p w:rsidR="00310784" w:rsidRDefault="00310784" w:rsidP="00310784">
      <w:pPr>
        <w:numPr>
          <w:ilvl w:val="3"/>
          <w:numId w:val="27"/>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Flight from NY to Boston</w:t>
      </w:r>
    </w:p>
    <w:p w:rsidR="00310784" w:rsidRDefault="00310784" w:rsidP="00310784">
      <w:pPr>
        <w:numPr>
          <w:ilvl w:val="3"/>
          <w:numId w:val="27"/>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Fed Ct in NY used Mass law, but not Mass damage limitation</w:t>
      </w:r>
    </w:p>
    <w:p w:rsidR="00310784" w:rsidRDefault="00310784" w:rsidP="00310784">
      <w:pPr>
        <w:numPr>
          <w:ilvl w:val="4"/>
          <w:numId w:val="28"/>
        </w:numPr>
        <w:ind w:left="2563"/>
        <w:textAlignment w:val="center"/>
        <w:rPr>
          <w:rFonts w:ascii="Calibri" w:eastAsia="Times New Roman" w:hAnsi="Calibri"/>
          <w:color w:val="000000"/>
          <w:sz w:val="22"/>
          <w:szCs w:val="22"/>
        </w:rPr>
      </w:pPr>
      <w:r>
        <w:rPr>
          <w:rFonts w:ascii="Calibri" w:eastAsia="Times New Roman" w:hAnsi="Calibri"/>
          <w:color w:val="000000"/>
          <w:sz w:val="22"/>
          <w:szCs w:val="22"/>
        </w:rPr>
        <w:t>Claimed PPE applied</w:t>
      </w:r>
    </w:p>
    <w:p w:rsidR="00310784" w:rsidRDefault="00310784" w:rsidP="00310784">
      <w:pPr>
        <w:numPr>
          <w:ilvl w:val="4"/>
          <w:numId w:val="28"/>
        </w:numPr>
        <w:ind w:left="2563"/>
        <w:textAlignment w:val="center"/>
        <w:rPr>
          <w:rFonts w:ascii="Calibri" w:eastAsia="Times New Roman" w:hAnsi="Calibri"/>
          <w:color w:val="000000"/>
          <w:sz w:val="22"/>
          <w:szCs w:val="22"/>
        </w:rPr>
      </w:pPr>
      <w:r>
        <w:rPr>
          <w:rFonts w:ascii="Calibri" w:eastAsia="Times New Roman" w:hAnsi="Calibri"/>
          <w:color w:val="000000"/>
          <w:sz w:val="22"/>
          <w:szCs w:val="22"/>
        </w:rPr>
        <w:t>Also claimed issue was procedural</w:t>
      </w:r>
    </w:p>
    <w:p w:rsidR="00310784" w:rsidRDefault="00310784" w:rsidP="00310784">
      <w:pPr>
        <w:numPr>
          <w:ilvl w:val="3"/>
          <w:numId w:val="29"/>
        </w:numPr>
        <w:ind w:left="2023"/>
        <w:textAlignment w:val="center"/>
        <w:rPr>
          <w:rFonts w:ascii="Calibri" w:eastAsia="Times New Roman" w:hAnsi="Calibri"/>
          <w:color w:val="000000"/>
          <w:sz w:val="22"/>
          <w:szCs w:val="22"/>
        </w:rPr>
      </w:pPr>
      <w:proofErr w:type="gramStart"/>
      <w:r>
        <w:rPr>
          <w:rFonts w:ascii="Calibri" w:eastAsia="Times New Roman" w:hAnsi="Calibri"/>
          <w:color w:val="000000"/>
          <w:sz w:val="22"/>
          <w:szCs w:val="22"/>
        </w:rPr>
        <w:t>but</w:t>
      </w:r>
      <w:proofErr w:type="gramEnd"/>
      <w:r>
        <w:rPr>
          <w:rFonts w:ascii="Calibri" w:eastAsia="Times New Roman" w:hAnsi="Calibri"/>
          <w:color w:val="000000"/>
          <w:sz w:val="22"/>
          <w:szCs w:val="22"/>
        </w:rPr>
        <w:t xml:space="preserve"> could court have said there was NY interest in NY law applying even though Mass law could apply otherwise? Yes.  Here too it would be carving out a part of Massachusetts law and replacing it with New York law</w:t>
      </w:r>
    </w:p>
    <w:p w:rsidR="00310784" w:rsidRDefault="00310784" w:rsidP="00310784">
      <w:pPr>
        <w:numPr>
          <w:ilvl w:val="3"/>
          <w:numId w:val="29"/>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This is related to </w:t>
      </w:r>
      <w:proofErr w:type="spellStart"/>
      <w:r>
        <w:rPr>
          <w:rFonts w:ascii="Calibri" w:eastAsia="Times New Roman" w:hAnsi="Calibri"/>
          <w:color w:val="000000"/>
          <w:sz w:val="22"/>
          <w:szCs w:val="22"/>
        </w:rPr>
        <w:t>depecage</w:t>
      </w:r>
      <w:proofErr w:type="spellEnd"/>
      <w:r>
        <w:rPr>
          <w:rFonts w:ascii="Calibri" w:eastAsia="Times New Roman" w:hAnsi="Calibri"/>
          <w:color w:val="000000"/>
          <w:sz w:val="22"/>
          <w:szCs w:val="22"/>
        </w:rPr>
        <w:t xml:space="preserve"> – perhaps this is impermissible if the two parts of the law must be together?</w:t>
      </w:r>
    </w:p>
    <w:p w:rsidR="00310784" w:rsidRDefault="00310784" w:rsidP="00310784">
      <w:pPr>
        <w:numPr>
          <w:ilvl w:val="3"/>
          <w:numId w:val="29"/>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Or could we simply reinterpret this as the</w:t>
      </w:r>
      <w:r w:rsidR="00286145">
        <w:rPr>
          <w:rFonts w:ascii="Calibri" w:eastAsia="Times New Roman" w:hAnsi="Calibri"/>
          <w:color w:val="000000"/>
          <w:sz w:val="22"/>
          <w:szCs w:val="22"/>
        </w:rPr>
        <w:t xml:space="preserve"> New York </w:t>
      </w:r>
      <w:proofErr w:type="spellStart"/>
      <w:r w:rsidR="00286145">
        <w:rPr>
          <w:rFonts w:ascii="Calibri" w:eastAsia="Times New Roman" w:hAnsi="Calibri"/>
          <w:color w:val="000000"/>
          <w:sz w:val="22"/>
          <w:szCs w:val="22"/>
        </w:rPr>
        <w:t>ct</w:t>
      </w:r>
      <w:proofErr w:type="spellEnd"/>
      <w:r>
        <w:rPr>
          <w:rFonts w:ascii="Calibri" w:eastAsia="Times New Roman" w:hAnsi="Calibri"/>
          <w:color w:val="000000"/>
          <w:sz w:val="22"/>
          <w:szCs w:val="22"/>
        </w:rPr>
        <w:t xml:space="preserve"> replacing all of Massachusetts law with New York law?</w:t>
      </w:r>
    </w:p>
    <w:p w:rsidR="00310784" w:rsidRDefault="00310784" w:rsidP="00310784"/>
    <w:p w:rsidR="0057062B" w:rsidRDefault="0057062B"/>
    <w:p w:rsidR="009A06DE" w:rsidRDefault="009A06DE" w:rsidP="009A06DE">
      <w:r>
        <w:t xml:space="preserve">Privileges and Immunities </w:t>
      </w:r>
    </w:p>
    <w:p w:rsidR="009A06DE" w:rsidRDefault="009A06DE" w:rsidP="009A06DE">
      <w:r>
        <w:tab/>
        <w:t>1)  P and I:  state cannot withhold from non-residents somethin</w:t>
      </w:r>
      <w:r>
        <w:t xml:space="preserve">g important (something bearing </w:t>
      </w:r>
      <w:r>
        <w:t>on the vitality of the nation as a single entity), unless the</w:t>
      </w:r>
      <w:r>
        <w:t xml:space="preserve">re is a substantial reason for </w:t>
      </w:r>
      <w:r>
        <w:t>discrimination and the means chosen (namely, state citizenship) bea</w:t>
      </w:r>
      <w:r>
        <w:t xml:space="preserve">rs a substantial relation to </w:t>
      </w:r>
      <w:r>
        <w:t>achieving that end.</w:t>
      </w:r>
    </w:p>
    <w:p w:rsidR="009A06DE" w:rsidRDefault="009A06DE" w:rsidP="009A06DE">
      <w:r>
        <w:lastRenderedPageBreak/>
        <w:tab/>
      </w:r>
      <w:r>
        <w:tab/>
        <w:t xml:space="preserve">E.g. </w:t>
      </w:r>
      <w:r>
        <w:t xml:space="preserve">Piper case:  N.H. says that only N.H. domiciliaries can be </w:t>
      </w:r>
      <w:r>
        <w:t xml:space="preserve">members of its bar.  Being a </w:t>
      </w:r>
      <w:r>
        <w:t>member of the bar is “something important,” and while th</w:t>
      </w:r>
      <w:r>
        <w:t xml:space="preserve">ere was arguably a substantial reason </w:t>
      </w:r>
      <w:r>
        <w:t>for limiting bar membership to N.H. citizens (encouragin</w:t>
      </w:r>
      <w:r>
        <w:t xml:space="preserve">g pro bono work and ensuring </w:t>
      </w:r>
      <w:r>
        <w:t>attorneys having a working knowledge of state rules</w:t>
      </w:r>
      <w:r>
        <w:t xml:space="preserve">), the means did not bear a </w:t>
      </w:r>
      <w:r>
        <w:t>substantial relation to achieving that end.</w:t>
      </w:r>
    </w:p>
    <w:p w:rsidR="009A06DE" w:rsidRDefault="009A06DE" w:rsidP="009A06DE"/>
    <w:p w:rsidR="009A06DE" w:rsidRDefault="009A06DE" w:rsidP="009A06DE">
      <w:r>
        <w:tab/>
        <w:t xml:space="preserve">2)  There has been concern among many that </w:t>
      </w:r>
      <w:proofErr w:type="gramStart"/>
      <w:r>
        <w:t>interests</w:t>
      </w:r>
      <w:proofErr w:type="gramEnd"/>
      <w:r>
        <w:t xml:space="preserve"> analysis give</w:t>
      </w:r>
      <w:r>
        <w:t xml:space="preserve">s certain benefits to in-state </w:t>
      </w:r>
      <w:r>
        <w:t>domiciliaries and residents in violation of the P &amp; I Clause.</w:t>
      </w:r>
    </w:p>
    <w:p w:rsidR="009A06DE" w:rsidRDefault="009A06DE" w:rsidP="009A06DE">
      <w:r>
        <w:tab/>
      </w:r>
      <w:r>
        <w:tab/>
        <w:t xml:space="preserve">a)  </w:t>
      </w:r>
      <w:r>
        <w:t>CT has guest statute, New York does</w:t>
      </w:r>
      <w:r>
        <w:t xml:space="preserve"> not.  NY guest and host get </w:t>
      </w:r>
      <w:r>
        <w:t>into accident in CT.  Guest sues host in CT court, which – using in</w:t>
      </w:r>
      <w:r>
        <w:t xml:space="preserve">terest analysis – does </w:t>
      </w:r>
      <w:r>
        <w:tab/>
        <w:t xml:space="preserve">not apply guest </w:t>
      </w:r>
      <w:r>
        <w:t>statute.  Is the P&amp;I Clause violated, because</w:t>
      </w:r>
      <w:r>
        <w:t xml:space="preserve"> CT provides a protection to </w:t>
      </w:r>
      <w:r>
        <w:t>CT defendants that it does not provide to NY defendants?</w:t>
      </w:r>
    </w:p>
    <w:p w:rsidR="009A06DE" w:rsidRDefault="009A06DE" w:rsidP="009A06DE">
      <w:r>
        <w:tab/>
      </w:r>
      <w:r>
        <w:tab/>
      </w:r>
      <w:r>
        <w:tab/>
        <w:t xml:space="preserve">1)  </w:t>
      </w:r>
      <w:r>
        <w:t xml:space="preserve">Green: </w:t>
      </w:r>
      <w:r>
        <w:t>No, because CT is not really discriminating against New Yorkers; rather,</w:t>
      </w:r>
      <w:r>
        <w:t xml:space="preserve"> it is </w:t>
      </w:r>
      <w:r>
        <w:t>simply deferring to NY and allowing NY to define th</w:t>
      </w:r>
      <w:r>
        <w:t xml:space="preserve">e benefits afforded its own </w:t>
      </w:r>
      <w:r>
        <w:t>citizens.  Such a move is actually in the spirit of the</w:t>
      </w:r>
      <w:r>
        <w:t xml:space="preserve"> P&amp;I Clause, b/c it fosters </w:t>
      </w:r>
      <w:r>
        <w:t>friendly relations between states (i.e., it allows NY to fulfill its own re</w:t>
      </w:r>
      <w:r>
        <w:t xml:space="preserve">gulatory </w:t>
      </w:r>
      <w:r>
        <w:t>purposes).  There is a substantial reason for the discr</w:t>
      </w:r>
      <w:r>
        <w:t xml:space="preserve">imination (deferring to NY’s </w:t>
      </w:r>
      <w:r>
        <w:tab/>
      </w:r>
      <w:r>
        <w:t>regulatory interests), and the means chosen are the</w:t>
      </w:r>
      <w:r>
        <w:t xml:space="preserve"> only ones that would allow this.  </w:t>
      </w:r>
    </w:p>
    <w:p w:rsidR="009A06DE" w:rsidRDefault="009A06DE" w:rsidP="009A06DE"/>
    <w:p w:rsidR="009A06DE" w:rsidRDefault="009A06DE" w:rsidP="009A06DE">
      <w:r>
        <w:tab/>
      </w:r>
      <w:r>
        <w:tab/>
      </w:r>
      <w:r>
        <w:tab/>
        <w:t xml:space="preserve">2) </w:t>
      </w:r>
      <w:r>
        <w:t xml:space="preserve"> </w:t>
      </w:r>
      <w:proofErr w:type="gramStart"/>
      <w:r>
        <w:t>what</w:t>
      </w:r>
      <w:proofErr w:type="gramEnd"/>
      <w:r>
        <w:t xml:space="preserve"> if NY guest sues CT host in CT state </w:t>
      </w:r>
      <w:proofErr w:type="spellStart"/>
      <w:r>
        <w:t>ct</w:t>
      </w:r>
      <w:proofErr w:type="spellEnd"/>
      <w:r>
        <w:t xml:space="preserve"> for a</w:t>
      </w:r>
      <w:r>
        <w:t xml:space="preserve">ccident in CT?  CT resolves </w:t>
      </w:r>
      <w:r>
        <w:t>true conflict by applying NY law.  Any P&amp;I vi</w:t>
      </w:r>
      <w:r>
        <w:t xml:space="preserve">olation?  No:  even though </w:t>
      </w:r>
      <w:r>
        <w:t xml:space="preserve">CT has </w:t>
      </w:r>
      <w:r>
        <w:t>an</w:t>
      </w:r>
      <w:r>
        <w:t xml:space="preserve"> interest, it is allowing NY to fulfill its own regulatory purposes.   </w:t>
      </w:r>
    </w:p>
    <w:p w:rsidR="009A06DE" w:rsidRDefault="009A06DE" w:rsidP="009A06DE">
      <w:r>
        <w:t xml:space="preserve">- Ct </w:t>
      </w:r>
      <w:r>
        <w:t>resolves true conflict by applying CT guest statute</w:t>
      </w:r>
      <w:r>
        <w:t xml:space="preserve">.  Any P&amp;I violation?  No – </w:t>
      </w:r>
      <w:r>
        <w:t xml:space="preserve">because treating new Yorkers and </w:t>
      </w:r>
      <w:proofErr w:type="spellStart"/>
      <w:r>
        <w:t>CT’ers</w:t>
      </w:r>
      <w:proofErr w:type="spellEnd"/>
      <w:r>
        <w:t xml:space="preserve"> the same in this case.  </w:t>
      </w:r>
      <w:bookmarkStart w:id="0" w:name="_GoBack"/>
      <w:bookmarkEnd w:id="0"/>
    </w:p>
    <w:sectPr w:rsidR="009A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288"/>
    <w:multiLevelType w:val="hybridMultilevel"/>
    <w:tmpl w:val="0E62156E"/>
    <w:lvl w:ilvl="0" w:tplc="3CA6137E">
      <w:numFmt w:val="bullet"/>
      <w:lvlText w:val="-"/>
      <w:lvlJc w:val="left"/>
      <w:pPr>
        <w:ind w:left="4680" w:hanging="360"/>
      </w:pPr>
      <w:rPr>
        <w:rFonts w:ascii="Calibri" w:eastAsia="Times New Roman" w:hAnsi="Calibri"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6F2C293B"/>
    <w:multiLevelType w:val="multilevel"/>
    <w:tmpl w:val="EA9863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Override w:ilvl="2">
      <w:startOverride w:val="6"/>
    </w:lvlOverride>
    <w:lvlOverride w:ilvl="3"/>
    <w:lvlOverride w:ilvl="4"/>
    <w:lvlOverride w:ilvl="5"/>
  </w:num>
  <w:num w:numId="2">
    <w:abstractNumId w:val="1"/>
    <w:lvlOverride w:ilvl="1"/>
    <w:lvlOverride w:ilvl="2"/>
    <w:lvlOverride w:ilvl="3">
      <w:startOverride w:val="1"/>
    </w:lvlOverride>
    <w:lvlOverride w:ilvl="4"/>
    <w:lvlOverride w:ilvl="5"/>
  </w:num>
  <w:num w:numId="3">
    <w:abstractNumId w:val="1"/>
    <w:lvlOverride w:ilvl="1"/>
    <w:lvlOverride w:ilvl="2"/>
    <w:lvlOverride w:ilvl="3"/>
    <w:lvlOverride w:ilvl="4">
      <w:startOverride w:val="1"/>
    </w:lvlOverride>
    <w:lvlOverride w:ilvl="5"/>
  </w:num>
  <w:num w:numId="4">
    <w:abstractNumId w:val="1"/>
    <w:lvlOverride w:ilvl="1"/>
    <w:lvlOverride w:ilvl="2"/>
    <w:lvlOverride w:ilvl="3"/>
    <w:lvlOverride w:ilvl="4"/>
    <w:lvlOverride w:ilvl="5">
      <w:startOverride w:val="1"/>
    </w:lvlOverride>
  </w:num>
  <w:num w:numId="5">
    <w:abstractNumId w:val="1"/>
    <w:lvlOverride w:ilvl="1"/>
    <w:lvlOverride w:ilvl="2"/>
    <w:lvlOverride w:ilvl="3"/>
    <w:lvlOverride w:ilvl="4"/>
    <w:lvlOverride w:ilvl="5">
      <w:startOverride w:val="3"/>
    </w:lvlOverride>
  </w:num>
  <w:num w:numId="6">
    <w:abstractNumId w:val="1"/>
    <w:lvlOverride w:ilvl="1"/>
    <w:lvlOverride w:ilvl="2"/>
    <w:lvlOverride w:ilvl="3"/>
    <w:lvlOverride w:ilvl="4"/>
    <w:lvlOverride w:ilvl="5">
      <w:startOverride w:val="4"/>
    </w:lvlOverride>
  </w:num>
  <w:num w:numId="7">
    <w:abstractNumId w:val="1"/>
    <w:lvlOverride w:ilvl="1"/>
    <w:lvlOverride w:ilvl="2"/>
    <w:lvlOverride w:ilvl="3"/>
    <w:lvlOverride w:ilvl="4"/>
    <w:lvlOverride w:ilvl="5">
      <w:startOverride w:val="5"/>
    </w:lvlOverride>
  </w:num>
  <w:num w:numId="8">
    <w:abstractNumId w:val="1"/>
    <w:lvlOverride w:ilvl="1"/>
    <w:lvlOverride w:ilvl="2"/>
    <w:lvlOverride w:ilvl="3"/>
    <w:lvlOverride w:ilvl="4">
      <w:startOverride w:val="2"/>
    </w:lvlOverride>
    <w:lvlOverride w:ilvl="5"/>
  </w:num>
  <w:num w:numId="9">
    <w:abstractNumId w:val="1"/>
    <w:lvlOverride w:ilvl="1"/>
    <w:lvlOverride w:ilvl="2"/>
    <w:lvlOverride w:ilvl="3"/>
    <w:lvlOverride w:ilvl="4"/>
    <w:lvlOverride w:ilvl="5">
      <w:startOverride w:val="1"/>
    </w:lvlOverride>
  </w:num>
  <w:num w:numId="10">
    <w:abstractNumId w:val="1"/>
    <w:lvlOverride w:ilvl="1"/>
    <w:lvlOverride w:ilvl="2"/>
    <w:lvlOverride w:ilvl="3"/>
    <w:lvlOverride w:ilvl="4">
      <w:startOverride w:val="4"/>
    </w:lvlOverride>
    <w:lvlOverride w:ilvl="5"/>
  </w:num>
  <w:num w:numId="11">
    <w:abstractNumId w:val="1"/>
    <w:lvlOverride w:ilvl="1"/>
    <w:lvlOverride w:ilvl="2"/>
    <w:lvlOverride w:ilvl="3"/>
    <w:lvlOverride w:ilvl="4"/>
    <w:lvlOverride w:ilvl="5">
      <w:startOverride w:val="1"/>
    </w:lvlOverride>
  </w:num>
  <w:num w:numId="12">
    <w:abstractNumId w:val="1"/>
    <w:lvlOverride w:ilvl="1"/>
    <w:lvlOverride w:ilvl="2"/>
    <w:lvlOverride w:ilvl="3"/>
    <w:lvlOverride w:ilvl="4"/>
    <w:lvlOverride w:ilvl="5"/>
    <w:lvlOverride w:ilvl="6">
      <w:startOverride w:val="1"/>
    </w:lvlOverride>
  </w:num>
  <w:num w:numId="13">
    <w:abstractNumId w:val="1"/>
    <w:lvlOverride w:ilvl="1"/>
    <w:lvlOverride w:ilvl="2"/>
    <w:lvlOverride w:ilvl="3"/>
    <w:lvlOverride w:ilvl="4">
      <w:startOverride w:val="5"/>
    </w:lvlOverride>
    <w:lvlOverride w:ilvl="5"/>
    <w:lvlOverride w:ilvl="6"/>
  </w:num>
  <w:num w:numId="14">
    <w:abstractNumId w:val="1"/>
    <w:lvlOverride w:ilvl="1"/>
    <w:lvlOverride w:ilvl="2"/>
    <w:lvlOverride w:ilvl="3"/>
    <w:lvlOverride w:ilvl="4"/>
    <w:lvlOverride w:ilvl="5">
      <w:startOverride w:val="1"/>
    </w:lvlOverride>
    <w:lvlOverride w:ilvl="6"/>
  </w:num>
  <w:num w:numId="15">
    <w:abstractNumId w:val="1"/>
    <w:lvlOverride w:ilvl="1"/>
    <w:lvlOverride w:ilvl="2"/>
    <w:lvlOverride w:ilvl="3"/>
    <w:lvlOverride w:ilvl="4">
      <w:startOverride w:val="6"/>
    </w:lvlOverride>
    <w:lvlOverride w:ilvl="5"/>
    <w:lvlOverride w:ilvl="6"/>
  </w:num>
  <w:num w:numId="16">
    <w:abstractNumId w:val="1"/>
    <w:lvlOverride w:ilvl="1"/>
    <w:lvlOverride w:ilvl="2"/>
    <w:lvlOverride w:ilvl="3"/>
    <w:lvlOverride w:ilvl="4"/>
    <w:lvlOverride w:ilvl="5">
      <w:startOverride w:val="1"/>
    </w:lvlOverride>
    <w:lvlOverride w:ilvl="6"/>
  </w:num>
  <w:num w:numId="17">
    <w:abstractNumId w:val="1"/>
    <w:lvlOverride w:ilvl="1"/>
    <w:lvlOverride w:ilvl="2"/>
    <w:lvlOverride w:ilvl="3"/>
    <w:lvlOverride w:ilvl="4">
      <w:startOverride w:val="7"/>
    </w:lvlOverride>
    <w:lvlOverride w:ilvl="5"/>
    <w:lvlOverride w:ilvl="6"/>
  </w:num>
  <w:num w:numId="18">
    <w:abstractNumId w:val="1"/>
    <w:lvlOverride w:ilvl="1"/>
    <w:lvlOverride w:ilvl="2"/>
    <w:lvlOverride w:ilvl="3"/>
    <w:lvlOverride w:ilvl="4"/>
    <w:lvlOverride w:ilvl="5">
      <w:startOverride w:val="1"/>
    </w:lvlOverride>
    <w:lvlOverride w:ilvl="6"/>
  </w:num>
  <w:num w:numId="19">
    <w:abstractNumId w:val="1"/>
    <w:lvlOverride w:ilvl="1"/>
    <w:lvlOverride w:ilvl="2"/>
    <w:lvlOverride w:ilvl="3"/>
    <w:lvlOverride w:ilvl="4">
      <w:startOverride w:val="8"/>
    </w:lvlOverride>
    <w:lvlOverride w:ilvl="5"/>
    <w:lvlOverride w:ilvl="6"/>
  </w:num>
  <w:num w:numId="20">
    <w:abstractNumId w:val="1"/>
    <w:lvlOverride w:ilvl="1"/>
    <w:lvlOverride w:ilvl="2">
      <w:startOverride w:val="7"/>
    </w:lvlOverride>
    <w:lvlOverride w:ilvl="3"/>
    <w:lvlOverride w:ilvl="4"/>
    <w:lvlOverride w:ilvl="5"/>
    <w:lvlOverride w:ilvl="6"/>
  </w:num>
  <w:num w:numId="21">
    <w:abstractNumId w:val="1"/>
    <w:lvlOverride w:ilvl="1"/>
    <w:lvlOverride w:ilvl="2"/>
    <w:lvlOverride w:ilvl="3">
      <w:startOverride w:val="1"/>
    </w:lvlOverride>
    <w:lvlOverride w:ilvl="4"/>
    <w:lvlOverride w:ilvl="5"/>
    <w:lvlOverride w:ilvl="6"/>
  </w:num>
  <w:num w:numId="22">
    <w:abstractNumId w:val="1"/>
    <w:lvlOverride w:ilvl="1"/>
    <w:lvlOverride w:ilvl="2">
      <w:startOverride w:val="8"/>
    </w:lvlOverride>
    <w:lvlOverride w:ilvl="3"/>
    <w:lvlOverride w:ilvl="4"/>
    <w:lvlOverride w:ilvl="5"/>
    <w:lvlOverride w:ilvl="6"/>
  </w:num>
  <w:num w:numId="23">
    <w:abstractNumId w:val="1"/>
    <w:lvlOverride w:ilvl="1"/>
    <w:lvlOverride w:ilvl="2"/>
    <w:lvlOverride w:ilvl="3">
      <w:startOverride w:val="1"/>
    </w:lvlOverride>
    <w:lvlOverride w:ilvl="4"/>
    <w:lvlOverride w:ilvl="5"/>
    <w:lvlOverride w:ilvl="6"/>
  </w:num>
  <w:num w:numId="24">
    <w:abstractNumId w:val="1"/>
    <w:lvlOverride w:ilvl="1"/>
    <w:lvlOverride w:ilvl="2">
      <w:startOverride w:val="9"/>
    </w:lvlOverride>
    <w:lvlOverride w:ilvl="3"/>
    <w:lvlOverride w:ilvl="4"/>
    <w:lvlOverride w:ilvl="5"/>
    <w:lvlOverride w:ilvl="6"/>
  </w:num>
  <w:num w:numId="25">
    <w:abstractNumId w:val="1"/>
    <w:lvlOverride w:ilvl="1"/>
    <w:lvlOverride w:ilvl="2"/>
    <w:lvlOverride w:ilvl="3">
      <w:startOverride w:val="1"/>
    </w:lvlOverride>
    <w:lvlOverride w:ilvl="4"/>
    <w:lvlOverride w:ilvl="5"/>
    <w:lvlOverride w:ilvl="6"/>
  </w:num>
  <w:num w:numId="26">
    <w:abstractNumId w:val="1"/>
    <w:lvlOverride w:ilvl="1"/>
    <w:lvlOverride w:ilvl="2">
      <w:startOverride w:val="10"/>
    </w:lvlOverride>
    <w:lvlOverride w:ilvl="3"/>
    <w:lvlOverride w:ilvl="4"/>
    <w:lvlOverride w:ilvl="5"/>
    <w:lvlOverride w:ilvl="6"/>
  </w:num>
  <w:num w:numId="27">
    <w:abstractNumId w:val="1"/>
    <w:lvlOverride w:ilvl="1"/>
    <w:lvlOverride w:ilvl="2"/>
    <w:lvlOverride w:ilvl="3">
      <w:startOverride w:val="1"/>
    </w:lvlOverride>
    <w:lvlOverride w:ilvl="4"/>
    <w:lvlOverride w:ilvl="5"/>
    <w:lvlOverride w:ilvl="6"/>
  </w:num>
  <w:num w:numId="28">
    <w:abstractNumId w:val="1"/>
    <w:lvlOverride w:ilvl="1"/>
    <w:lvlOverride w:ilvl="2"/>
    <w:lvlOverride w:ilvl="3"/>
    <w:lvlOverride w:ilvl="4">
      <w:startOverride w:val="1"/>
    </w:lvlOverride>
    <w:lvlOverride w:ilvl="5"/>
    <w:lvlOverride w:ilvl="6"/>
  </w:num>
  <w:num w:numId="29">
    <w:abstractNumId w:val="1"/>
    <w:lvlOverride w:ilvl="1"/>
    <w:lvlOverride w:ilvl="2"/>
    <w:lvlOverride w:ilvl="3">
      <w:startOverride w:val="4"/>
    </w:lvlOverride>
    <w:lvlOverride w:ilvl="4"/>
    <w:lvlOverride w:ilvl="5"/>
    <w:lvlOverride w:ilv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84"/>
    <w:rsid w:val="00032CFC"/>
    <w:rsid w:val="00286145"/>
    <w:rsid w:val="00310784"/>
    <w:rsid w:val="0057062B"/>
    <w:rsid w:val="008871A4"/>
    <w:rsid w:val="009A06DE"/>
    <w:rsid w:val="00A801FB"/>
    <w:rsid w:val="00AD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4FB76-56F7-48A8-8D9B-6E0FABEE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8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6</cp:revision>
  <dcterms:created xsi:type="dcterms:W3CDTF">2017-04-18T22:52:00Z</dcterms:created>
  <dcterms:modified xsi:type="dcterms:W3CDTF">2017-04-18T23:08:00Z</dcterms:modified>
</cp:coreProperties>
</file>