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8FB6" w14:textId="77777777" w:rsidR="00F65E44" w:rsidRPr="006A195F" w:rsidRDefault="00D32989" w:rsidP="006A195F">
      <w:pPr>
        <w:jc w:val="center"/>
        <w:rPr>
          <w:b/>
          <w:i/>
          <w:sz w:val="32"/>
        </w:rPr>
      </w:pPr>
      <w:r w:rsidRPr="006A195F">
        <w:rPr>
          <w:b/>
          <w:i/>
          <w:sz w:val="32"/>
        </w:rPr>
        <w:t>Class 14 (September 19, 2017)</w:t>
      </w:r>
    </w:p>
    <w:p w14:paraId="2BB40B8A" w14:textId="77777777" w:rsidR="00D32989" w:rsidRDefault="00D32989"/>
    <w:p w14:paraId="13477278" w14:textId="040334C5" w:rsidR="00915CCE" w:rsidRPr="00915CCE" w:rsidRDefault="00C45AE2">
      <w:pPr>
        <w:rPr>
          <w:b/>
          <w:sz w:val="28"/>
        </w:rPr>
      </w:pPr>
      <w:r w:rsidRPr="00915CCE">
        <w:rPr>
          <w:b/>
          <w:sz w:val="28"/>
        </w:rPr>
        <w:t>Where</w:t>
      </w:r>
      <w:r w:rsidR="00915CCE" w:rsidRPr="00915CCE">
        <w:rPr>
          <w:b/>
          <w:sz w:val="28"/>
        </w:rPr>
        <w:t xml:space="preserve"> do we stand…?</w:t>
      </w:r>
    </w:p>
    <w:p w14:paraId="352B7F7B" w14:textId="21D884A3" w:rsidR="00D32989" w:rsidRDefault="00D32989" w:rsidP="00E3243F">
      <w:pPr>
        <w:pStyle w:val="ListParagraph"/>
        <w:numPr>
          <w:ilvl w:val="0"/>
          <w:numId w:val="1"/>
        </w:numPr>
      </w:pPr>
      <w:r>
        <w:t>Rule: Can’t be called on when it’s your birthday</w:t>
      </w:r>
    </w:p>
    <w:p w14:paraId="24427374" w14:textId="77777777" w:rsidR="00E3243F" w:rsidRDefault="00E3243F" w:rsidP="00E3243F">
      <w:pPr>
        <w:pStyle w:val="ListParagraph"/>
        <w:numPr>
          <w:ilvl w:val="0"/>
          <w:numId w:val="1"/>
        </w:numPr>
      </w:pPr>
      <w:r>
        <w:t xml:space="preserve">After this class we’ll be exactly one-third </w:t>
      </w:r>
      <w:r w:rsidR="00D32989">
        <w:t>of the way through</w:t>
      </w:r>
      <w:r>
        <w:t xml:space="preserve"> the semester</w:t>
      </w:r>
    </w:p>
    <w:p w14:paraId="45DFABAE" w14:textId="0B63C472" w:rsidR="00E3243F" w:rsidRDefault="00D32989" w:rsidP="00E3243F">
      <w:pPr>
        <w:pStyle w:val="ListParagraph"/>
        <w:numPr>
          <w:ilvl w:val="0"/>
          <w:numId w:val="1"/>
        </w:numPr>
      </w:pPr>
      <w:r>
        <w:t>In</w:t>
      </w:r>
      <w:r w:rsidR="00E3243F">
        <w:t xml:space="preserve"> approx.</w:t>
      </w:r>
      <w:r>
        <w:t xml:space="preserve"> two weeks or so w</w:t>
      </w:r>
      <w:r w:rsidR="009E51C7">
        <w:t>e’ll be done with jurisdiction/venue</w:t>
      </w:r>
      <w:r w:rsidR="00E3243F">
        <w:t>. Soon</w:t>
      </w:r>
      <w:r>
        <w:t xml:space="preserve"> </w:t>
      </w:r>
      <w:r w:rsidR="00E3243F">
        <w:t xml:space="preserve">after we </w:t>
      </w:r>
      <w:r>
        <w:t>w</w:t>
      </w:r>
      <w:r w:rsidR="00E3243F">
        <w:t xml:space="preserve">ill have our practice midterm. </w:t>
      </w:r>
    </w:p>
    <w:p w14:paraId="60C65D0F" w14:textId="4BC9EBA1" w:rsidR="00D32989" w:rsidRDefault="00E3243F" w:rsidP="00E3243F">
      <w:pPr>
        <w:pStyle w:val="ListParagraph"/>
        <w:numPr>
          <w:ilvl w:val="1"/>
          <w:numId w:val="1"/>
        </w:numPr>
      </w:pPr>
      <w:r>
        <w:t>For the midterm everyone can use the book, notes, and outlines you created (or from</w:t>
      </w:r>
      <w:r w:rsidR="00D32989">
        <w:t xml:space="preserve"> a study </w:t>
      </w:r>
      <w:r>
        <w:t xml:space="preserve">group in which you participated). </w:t>
      </w:r>
      <w:r w:rsidR="009E51C7">
        <w:t>The same rules apply to the final.</w:t>
      </w:r>
    </w:p>
    <w:p w14:paraId="173B66A2" w14:textId="77777777" w:rsidR="00915CCE" w:rsidRDefault="00915CCE"/>
    <w:p w14:paraId="015552C5" w14:textId="77777777" w:rsidR="00915CCE" w:rsidRDefault="00915CCE" w:rsidP="00915CCE">
      <w:pPr>
        <w:rPr>
          <w:b/>
          <w:i/>
        </w:rPr>
      </w:pPr>
      <w:r w:rsidRPr="00915CCE">
        <w:rPr>
          <w:b/>
          <w:i/>
        </w:rPr>
        <w:t>Overview of Personal Jurisdiction:</w:t>
      </w:r>
    </w:p>
    <w:p w14:paraId="23240E8E" w14:textId="77777777" w:rsidR="00915CCE" w:rsidRPr="00915CCE" w:rsidRDefault="00915CCE" w:rsidP="00915CCE">
      <w:pPr>
        <w:pStyle w:val="ListParagraph"/>
        <w:numPr>
          <w:ilvl w:val="0"/>
          <w:numId w:val="6"/>
        </w:numPr>
        <w:rPr>
          <w:b/>
          <w:i/>
        </w:rPr>
      </w:pPr>
      <w:r w:rsidRPr="00915CCE">
        <w:t>PJ cases that can be answered within the Int’l Shoe framework, without considering the relationshi</w:t>
      </w:r>
      <w:r>
        <w:t xml:space="preserve">p to the Pennoyer framework: </w:t>
      </w:r>
    </w:p>
    <w:p w14:paraId="0F43EE71" w14:textId="77777777" w:rsidR="00915CCE" w:rsidRPr="00915CCE" w:rsidRDefault="00915CCE" w:rsidP="00915CCE">
      <w:pPr>
        <w:pStyle w:val="ListParagraph"/>
        <w:numPr>
          <w:ilvl w:val="1"/>
          <w:numId w:val="6"/>
        </w:numPr>
        <w:rPr>
          <w:b/>
          <w:i/>
        </w:rPr>
      </w:pPr>
      <w:r>
        <w:t>S</w:t>
      </w:r>
      <w:r w:rsidRPr="00915CCE">
        <w:t xml:space="preserve">pecific personal jurisdiction (with the </w:t>
      </w:r>
      <w:r>
        <w:t>addition of the McGee factors. (E.</w:t>
      </w:r>
      <w:r w:rsidRPr="00915CCE">
        <w:t>g. McGee, Burger King, W</w:t>
      </w:r>
      <w:r>
        <w:t>orldwide VW, Asahi, McIntyre)</w:t>
      </w:r>
    </w:p>
    <w:p w14:paraId="2C897FB3" w14:textId="77777777" w:rsidR="00915CCE" w:rsidRPr="00915CCE" w:rsidRDefault="00915CCE" w:rsidP="00915CCE">
      <w:pPr>
        <w:pStyle w:val="ListParagraph"/>
        <w:numPr>
          <w:ilvl w:val="1"/>
          <w:numId w:val="6"/>
        </w:numPr>
        <w:rPr>
          <w:b/>
          <w:i/>
        </w:rPr>
      </w:pPr>
      <w:r>
        <w:t>G</w:t>
      </w:r>
      <w:r w:rsidRPr="00915CCE">
        <w:t>eneral personal juris</w:t>
      </w:r>
      <w:r>
        <w:t>diction over corporations (E</w:t>
      </w:r>
      <w:r w:rsidRPr="00915CCE">
        <w:t>.g. Goodyear, Daimler</w:t>
      </w:r>
      <w:r>
        <w:t>)</w:t>
      </w:r>
    </w:p>
    <w:p w14:paraId="12BE440A" w14:textId="77777777" w:rsidR="00915CCE" w:rsidRPr="00915CCE" w:rsidRDefault="00915CCE" w:rsidP="00915CCE">
      <w:pPr>
        <w:pStyle w:val="ListParagraph"/>
        <w:ind w:left="1440"/>
        <w:rPr>
          <w:b/>
          <w:i/>
        </w:rPr>
      </w:pPr>
    </w:p>
    <w:p w14:paraId="4CA47B6B" w14:textId="77777777" w:rsidR="00915CCE" w:rsidRPr="00915CCE" w:rsidRDefault="00915CCE" w:rsidP="00915CCE">
      <w:pPr>
        <w:pStyle w:val="ListParagraph"/>
        <w:numPr>
          <w:ilvl w:val="0"/>
          <w:numId w:val="6"/>
        </w:numPr>
        <w:rPr>
          <w:b/>
          <w:i/>
        </w:rPr>
      </w:pPr>
      <w:r>
        <w:t xml:space="preserve"> </w:t>
      </w:r>
      <w:r w:rsidR="00D32989" w:rsidRPr="00D32989">
        <w:t>PJ under the Pennoyer framework that is u</w:t>
      </w:r>
      <w:r>
        <w:t>nproblematic under Int’l Shoe</w:t>
      </w:r>
    </w:p>
    <w:p w14:paraId="5D9B853D" w14:textId="77777777" w:rsidR="00915CCE" w:rsidRPr="00915CCE" w:rsidRDefault="00915CCE" w:rsidP="00915CCE">
      <w:pPr>
        <w:pStyle w:val="ListParagraph"/>
        <w:numPr>
          <w:ilvl w:val="1"/>
          <w:numId w:val="6"/>
        </w:numPr>
        <w:rPr>
          <w:b/>
          <w:i/>
        </w:rPr>
      </w:pPr>
      <w:r w:rsidRPr="00D32989">
        <w:t>Domicile</w:t>
      </w:r>
      <w:r>
        <w:t xml:space="preserve"> as a source of</w:t>
      </w:r>
      <w:r w:rsidR="00D32989" w:rsidRPr="00D32989">
        <w:t xml:space="preserve"> general in personam jurisdiction over individuals </w:t>
      </w:r>
    </w:p>
    <w:p w14:paraId="1F021A86" w14:textId="1A87C301" w:rsidR="00915CCE" w:rsidRPr="009E51C7" w:rsidRDefault="00915CCE" w:rsidP="00915CCE">
      <w:pPr>
        <w:pStyle w:val="ListParagraph"/>
        <w:numPr>
          <w:ilvl w:val="1"/>
          <w:numId w:val="6"/>
        </w:numPr>
        <w:rPr>
          <w:b/>
          <w:i/>
        </w:rPr>
      </w:pPr>
      <w:r>
        <w:t>I</w:t>
      </w:r>
      <w:r w:rsidR="00D32989" w:rsidRPr="00D32989">
        <w:t>n rem</w:t>
      </w:r>
      <w:r>
        <w:t xml:space="preserve"> jurisdiction</w:t>
      </w:r>
      <w:r w:rsidR="001F539C">
        <w:t>/quasi in rem of first type</w:t>
      </w:r>
    </w:p>
    <w:p w14:paraId="12287DA6" w14:textId="759D8430" w:rsidR="009E51C7" w:rsidRDefault="001F539C" w:rsidP="009E51C7">
      <w:pPr>
        <w:pStyle w:val="ListParagraph"/>
        <w:numPr>
          <w:ilvl w:val="2"/>
          <w:numId w:val="6"/>
        </w:numPr>
      </w:pPr>
      <w:r>
        <w:t>Although problems can</w:t>
      </w:r>
      <w:r w:rsidR="009E51C7">
        <w:t xml:space="preserve"> arise when it</w:t>
      </w:r>
      <w:r w:rsidR="009E51C7">
        <w:t>’</w:t>
      </w:r>
      <w:r w:rsidR="009E51C7">
        <w:t>s unclear where the property is located (i.e. stocks</w:t>
      </w:r>
      <w:r>
        <w:t>, copyrights</w:t>
      </w:r>
      <w:r w:rsidR="009E51C7">
        <w:t>)</w:t>
      </w:r>
      <w:r>
        <w:t xml:space="preserve"> but there has to be some place where a determination  of the ownership of the property can be brought</w:t>
      </w:r>
    </w:p>
    <w:p w14:paraId="2981DA39" w14:textId="36E50A38" w:rsidR="001F539C" w:rsidRPr="009E51C7" w:rsidRDefault="001F539C" w:rsidP="001F539C">
      <w:pPr>
        <w:pStyle w:val="ListParagraph"/>
        <w:numPr>
          <w:ilvl w:val="3"/>
          <w:numId w:val="6"/>
        </w:numPr>
      </w:pPr>
      <w:r>
        <w:t>(If Shaffer were only about ownership of the shares it would probably have been okay.)</w:t>
      </w:r>
    </w:p>
    <w:p w14:paraId="244C6B1D" w14:textId="77777777" w:rsidR="00915CCE" w:rsidRDefault="00915CCE" w:rsidP="00915CCE">
      <w:pPr>
        <w:pStyle w:val="ListParagraph"/>
        <w:ind w:left="1440"/>
        <w:rPr>
          <w:b/>
          <w:i/>
        </w:rPr>
      </w:pPr>
    </w:p>
    <w:p w14:paraId="349337F4" w14:textId="5E1158A9" w:rsidR="001B729F" w:rsidRDefault="001B729F" w:rsidP="001B729F">
      <w:r w:rsidRPr="001B729F">
        <w:rPr>
          <w:i/>
        </w:rPr>
        <w:t>Remember</w:t>
      </w:r>
      <w:r>
        <w:t xml:space="preserve">: All </w:t>
      </w:r>
      <w:r w:rsidR="009E51C7">
        <w:t>sources</w:t>
      </w:r>
      <w:r>
        <w:t xml:space="preserve"> of PJ in Pennoyer were general PJ, but under Shoe the requirements for general PJ have been raised</w:t>
      </w:r>
    </w:p>
    <w:p w14:paraId="392FDC99" w14:textId="77777777" w:rsidR="001B729F" w:rsidRPr="00915CCE" w:rsidRDefault="001B729F" w:rsidP="00915CCE">
      <w:pPr>
        <w:pStyle w:val="ListParagraph"/>
        <w:ind w:left="1440"/>
        <w:rPr>
          <w:b/>
          <w:i/>
        </w:rPr>
      </w:pPr>
    </w:p>
    <w:p w14:paraId="16A59015" w14:textId="77777777" w:rsidR="00915CCE" w:rsidRDefault="00915CCE" w:rsidP="00915CCE">
      <w:pPr>
        <w:pStyle w:val="ListParagraph"/>
        <w:numPr>
          <w:ilvl w:val="0"/>
          <w:numId w:val="6"/>
        </w:numPr>
      </w:pPr>
      <w:r>
        <w:t>T</w:t>
      </w:r>
      <w:r w:rsidRPr="00915CCE">
        <w:t>he problematic cases are when PJ exists under the Pennoyer framework but does not satisfy Int’l Shoe</w:t>
      </w:r>
    </w:p>
    <w:p w14:paraId="2779EEF5" w14:textId="52056628" w:rsidR="00915CCE" w:rsidRDefault="00915CCE" w:rsidP="00915CCE">
      <w:pPr>
        <w:pStyle w:val="ListParagraph"/>
        <w:numPr>
          <w:ilvl w:val="1"/>
          <w:numId w:val="6"/>
        </w:numPr>
      </w:pPr>
      <w:r>
        <w:t>S</w:t>
      </w:r>
      <w:r w:rsidRPr="00915CCE">
        <w:t>ome we know are unconstitutional</w:t>
      </w:r>
      <w:r>
        <w:t>. For example certain types of quasi in rem</w:t>
      </w:r>
      <w:r w:rsidR="001F539C">
        <w:t xml:space="preserve"> of second type</w:t>
      </w:r>
      <w:r w:rsidR="00661365">
        <w:t xml:space="preserve"> - Shaffer</w:t>
      </w:r>
    </w:p>
    <w:p w14:paraId="41BC5451" w14:textId="139A48FB" w:rsidR="001B729F" w:rsidRDefault="00915CCE" w:rsidP="00915CCE">
      <w:pPr>
        <w:pStyle w:val="ListParagraph"/>
        <w:numPr>
          <w:ilvl w:val="2"/>
          <w:numId w:val="6"/>
        </w:numPr>
      </w:pPr>
      <w:r>
        <w:t>Shaffer has a double problem</w:t>
      </w:r>
      <w:r w:rsidR="00D32989">
        <w:t xml:space="preserve">– don’t know where the stocks are located </w:t>
      </w:r>
      <w:r w:rsidR="00D32989" w:rsidRPr="00915CCE">
        <w:rPr>
          <w:i/>
        </w:rPr>
        <w:t>and</w:t>
      </w:r>
      <w:r w:rsidR="001F539C">
        <w:t xml:space="preserve"> not related to the cause of action</w:t>
      </w:r>
    </w:p>
    <w:p w14:paraId="66BB31C5" w14:textId="401391FF" w:rsidR="00915CCE" w:rsidRDefault="001B729F" w:rsidP="00915CCE">
      <w:pPr>
        <w:pStyle w:val="ListParagraph"/>
        <w:numPr>
          <w:ilvl w:val="2"/>
          <w:numId w:val="6"/>
        </w:numPr>
      </w:pPr>
      <w:r w:rsidRPr="001B729F">
        <w:t xml:space="preserve"> </w:t>
      </w:r>
      <w:r w:rsidRPr="00AD2EA9">
        <w:t>Shaffer</w:t>
      </w:r>
      <w:r>
        <w:t xml:space="preserve"> upends the order because it strikes down PJ good </w:t>
      </w:r>
      <w:r w:rsidR="001F539C">
        <w:t xml:space="preserve">under </w:t>
      </w:r>
      <w:proofErr w:type="spellStart"/>
      <w:r w:rsidR="001F539C">
        <w:t>Pennoyer</w:t>
      </w:r>
      <w:proofErr w:type="spellEnd"/>
      <w:r w:rsidR="001F539C">
        <w:t xml:space="preserve"> </w:t>
      </w:r>
      <w:proofErr w:type="spellStart"/>
      <w:r w:rsidR="001F539C">
        <w:t>bc</w:t>
      </w:r>
      <w:proofErr w:type="spellEnd"/>
      <w:r w:rsidR="001F539C">
        <w:t xml:space="preserve"> it is not good </w:t>
      </w:r>
      <w:r>
        <w:t>under International Shoe</w:t>
      </w:r>
    </w:p>
    <w:p w14:paraId="49D4C02C" w14:textId="6734D7E0" w:rsidR="001F539C" w:rsidRDefault="001F539C" w:rsidP="001F539C">
      <w:pPr>
        <w:pStyle w:val="ListParagraph"/>
        <w:numPr>
          <w:ilvl w:val="3"/>
          <w:numId w:val="6"/>
        </w:numPr>
      </w:pPr>
      <w:r>
        <w:t>How far does this go?</w:t>
      </w:r>
    </w:p>
    <w:p w14:paraId="6F511218" w14:textId="3F956709" w:rsidR="00AD2EA9" w:rsidRDefault="001E0C7A" w:rsidP="00915CCE">
      <w:pPr>
        <w:pStyle w:val="ListParagraph"/>
        <w:numPr>
          <w:ilvl w:val="1"/>
          <w:numId w:val="6"/>
        </w:numPr>
      </w:pPr>
      <w:r>
        <w:t>Quasi i</w:t>
      </w:r>
      <w:r w:rsidR="00D32989">
        <w:t>n rem</w:t>
      </w:r>
      <w:r>
        <w:t xml:space="preserve"> (second type)</w:t>
      </w:r>
      <w:r w:rsidR="00D32989">
        <w:t xml:space="preserve">- we don’t know </w:t>
      </w:r>
      <w:r w:rsidR="00915CCE">
        <w:t xml:space="preserve">definitively </w:t>
      </w:r>
      <w:r w:rsidR="00D32989">
        <w:t xml:space="preserve">if it’s </w:t>
      </w:r>
      <w:r w:rsidR="00661365">
        <w:t>unconstitutional - examples of quasi in rem 2</w:t>
      </w:r>
      <w:r w:rsidR="00661365" w:rsidRPr="00661365">
        <w:rPr>
          <w:vertAlign w:val="superscript"/>
        </w:rPr>
        <w:t>nd</w:t>
      </w:r>
      <w:r w:rsidR="00661365">
        <w:t xml:space="preserve"> type where property is clearly in forum state, </w:t>
      </w:r>
      <w:proofErr w:type="spellStart"/>
      <w:r w:rsidR="00661365">
        <w:t>eg</w:t>
      </w:r>
      <w:proofErr w:type="spellEnd"/>
      <w:r w:rsidR="00661365">
        <w:t xml:space="preserve"> real property or bank accounts still go on to some extent</w:t>
      </w:r>
    </w:p>
    <w:p w14:paraId="5A03FF81" w14:textId="77777777" w:rsidR="00AD2EA9" w:rsidRDefault="00AD2EA9"/>
    <w:p w14:paraId="666DE5C8" w14:textId="164DD155" w:rsidR="00AD2EA9" w:rsidRPr="001B729F" w:rsidRDefault="001B729F">
      <w:pPr>
        <w:rPr>
          <w:b/>
          <w:i/>
        </w:rPr>
      </w:pPr>
      <w:r w:rsidRPr="001B729F">
        <w:rPr>
          <w:b/>
          <w:i/>
        </w:rPr>
        <w:t>W</w:t>
      </w:r>
      <w:r w:rsidR="00AD2EA9" w:rsidRPr="001B729F">
        <w:rPr>
          <w:b/>
          <w:i/>
        </w:rPr>
        <w:t>hy no PJ in Shaffer?</w:t>
      </w:r>
    </w:p>
    <w:p w14:paraId="47E5394E" w14:textId="77777777" w:rsidR="001B729F" w:rsidRDefault="001B729F" w:rsidP="001B729F">
      <w:r>
        <w:t>B</w:t>
      </w:r>
      <w:r w:rsidR="00AD2EA9" w:rsidRPr="00AD2EA9">
        <w:t>ecause all forms</w:t>
      </w:r>
      <w:r>
        <w:t xml:space="preserve"> of PJ must satisfy Int’l Shoe? </w:t>
      </w:r>
      <w:r w:rsidR="00AD2EA9" w:rsidRPr="00AD2EA9">
        <w:t>(Shaffer, Brennan in Burnham)</w:t>
      </w:r>
    </w:p>
    <w:p w14:paraId="7D0A8B55" w14:textId="77777777" w:rsidR="001B729F" w:rsidRDefault="001B729F" w:rsidP="001B729F"/>
    <w:p w14:paraId="503D658B" w14:textId="7F891962" w:rsidR="00AD2EA9" w:rsidRDefault="001B729F" w:rsidP="001B729F">
      <w:r>
        <w:t>But t</w:t>
      </w:r>
      <w:r w:rsidR="00AD2EA9">
        <w:t>his explanation doesn’t account for the law as it is right now. For example, tagging is good, bank accounts</w:t>
      </w:r>
      <w:r w:rsidR="00661365">
        <w:t>/real property</w:t>
      </w:r>
      <w:r w:rsidR="00AD2EA9">
        <w:t xml:space="preserve"> as </w:t>
      </w:r>
      <w:r w:rsidR="00661365">
        <w:t>property for quasi in rem</w:t>
      </w:r>
      <w:r w:rsidR="00AD2EA9">
        <w:t>.</w:t>
      </w:r>
    </w:p>
    <w:p w14:paraId="232BEC38" w14:textId="77777777" w:rsidR="00D32989" w:rsidRDefault="00D32989"/>
    <w:p w14:paraId="36E01872" w14:textId="044C8669" w:rsidR="00525055" w:rsidRPr="00525055" w:rsidRDefault="001B729F">
      <w:pPr>
        <w:rPr>
          <w:b/>
        </w:rPr>
      </w:pPr>
      <w:r>
        <w:rPr>
          <w:b/>
        </w:rPr>
        <w:t xml:space="preserve">Three ways or theories </w:t>
      </w:r>
      <w:r w:rsidR="00525055" w:rsidRPr="00525055">
        <w:rPr>
          <w:b/>
        </w:rPr>
        <w:t>of distinguishing</w:t>
      </w:r>
      <w:r w:rsidR="00661365">
        <w:rPr>
          <w:b/>
        </w:rPr>
        <w:t xml:space="preserve"> </w:t>
      </w:r>
      <w:r w:rsidR="00525055" w:rsidRPr="00525055">
        <w:rPr>
          <w:b/>
        </w:rPr>
        <w:t xml:space="preserve">Shaffer </w:t>
      </w:r>
      <w:r w:rsidR="00661365">
        <w:rPr>
          <w:b/>
        </w:rPr>
        <w:t>from tagging and maybe quasi in rem involving real property/bank accounts</w:t>
      </w:r>
    </w:p>
    <w:p w14:paraId="4E16A8FA" w14:textId="734CE254" w:rsidR="00AD2EA9" w:rsidRDefault="001B729F" w:rsidP="001B729F">
      <w:pPr>
        <w:pStyle w:val="ListParagraph"/>
        <w:numPr>
          <w:ilvl w:val="0"/>
          <w:numId w:val="8"/>
        </w:numPr>
      </w:pPr>
      <w:r>
        <w:lastRenderedPageBreak/>
        <w:t>B</w:t>
      </w:r>
      <w:r w:rsidR="00AD2EA9" w:rsidRPr="00AD2EA9">
        <w:t xml:space="preserve">ecause all forms of PJ over an-out-of-state defendant must satisfy </w:t>
      </w:r>
      <w:r>
        <w:t>Int’l Shoe? (Scalia in Burnham)</w:t>
      </w:r>
      <w:r w:rsidR="00AD2EA9" w:rsidRPr="00AD2EA9">
        <w:br/>
        <w:t>- tagging does not have to satisfy Int’l Shoe because the defendant is in state</w:t>
      </w:r>
      <w:r w:rsidR="00AD2EA9" w:rsidRPr="00AD2EA9">
        <w:br/>
        <w:t>- all forms of quasi in rem are unconstitutional though</w:t>
      </w:r>
    </w:p>
    <w:p w14:paraId="565D574F" w14:textId="77777777" w:rsidR="00AD2EA9" w:rsidRDefault="00AD2EA9"/>
    <w:p w14:paraId="55EB5F65" w14:textId="48C7A5B4" w:rsidR="00AD2EA9" w:rsidRDefault="001B729F" w:rsidP="001B729F">
      <w:pPr>
        <w:pStyle w:val="ListParagraph"/>
        <w:numPr>
          <w:ilvl w:val="0"/>
          <w:numId w:val="8"/>
        </w:numPr>
      </w:pPr>
      <w:r>
        <w:t>B</w:t>
      </w:r>
      <w:r w:rsidR="00AD2EA9" w:rsidRPr="00AD2EA9">
        <w:t xml:space="preserve">ecause all forms of PJ over an out-of-state defendant in which in personam jurisdiction is ultimately asserted must satisfy Int’l Shoe? (Scalia in Burnham) </w:t>
      </w:r>
      <w:r w:rsidR="00AD2EA9" w:rsidRPr="00AD2EA9">
        <w:br/>
      </w:r>
      <w:r w:rsidR="00AD2EA9" w:rsidRPr="00AD2EA9">
        <w:br/>
        <w:t>- tagging does not have to satisfy Int’l Shoe because the defendant is in state</w:t>
      </w:r>
      <w:r w:rsidR="00AD2EA9" w:rsidRPr="00AD2EA9">
        <w:br/>
        <w:t>- quasi in rem in Shaffer was a problem because limited appearances were not allowed</w:t>
      </w:r>
      <w:r w:rsidR="00AD2EA9" w:rsidRPr="00AD2EA9">
        <w:br/>
        <w:t>- had they been allowed it would have been constitutional</w:t>
      </w:r>
    </w:p>
    <w:p w14:paraId="41B77C89" w14:textId="77777777" w:rsidR="00AD2EA9" w:rsidRDefault="00AD2EA9"/>
    <w:p w14:paraId="72747319" w14:textId="06CD2052" w:rsidR="001B729F" w:rsidRDefault="001B729F" w:rsidP="001B729F">
      <w:pPr>
        <w:pStyle w:val="ListParagraph"/>
        <w:numPr>
          <w:ilvl w:val="0"/>
          <w:numId w:val="8"/>
        </w:numPr>
      </w:pPr>
      <w:r>
        <w:t>Alterative theory (slightly d</w:t>
      </w:r>
      <w:r w:rsidR="00AD2EA9">
        <w:t>i</w:t>
      </w:r>
      <w:r>
        <w:t>fferent from Int’l Shoe): There is PJ if a defendant can r</w:t>
      </w:r>
      <w:r w:rsidR="00AD2EA9">
        <w:t>easonably anticipate being subject to PJ</w:t>
      </w:r>
      <w:r w:rsidR="00661365">
        <w:t xml:space="preserve"> on the basis of his actions</w:t>
      </w:r>
      <w:r>
        <w:t>. Basically, if a form of PJ</w:t>
      </w:r>
      <w:r w:rsidR="00AD2EA9">
        <w:t xml:space="preserve"> is</w:t>
      </w:r>
      <w:r>
        <w:t xml:space="preserve"> </w:t>
      </w:r>
      <w:r w:rsidRPr="001B729F">
        <w:rPr>
          <w:b/>
        </w:rPr>
        <w:t>both</w:t>
      </w:r>
      <w:r w:rsidR="00AD2EA9">
        <w:t xml:space="preserve"> traditional and</w:t>
      </w:r>
      <w:r>
        <w:t xml:space="preserve"> currently</w:t>
      </w:r>
      <w:r w:rsidR="00AD2EA9">
        <w:t xml:space="preserve"> being used</w:t>
      </w:r>
      <w:r>
        <w:t xml:space="preserve"> in most states,</w:t>
      </w:r>
      <w:r w:rsidR="00AD2EA9">
        <w:t xml:space="preserve"> you shouldn’t be surprised. </w:t>
      </w:r>
    </w:p>
    <w:p w14:paraId="6CBBA060" w14:textId="77777777" w:rsidR="0069292F" w:rsidRDefault="001B729F" w:rsidP="0069292F">
      <w:pPr>
        <w:pStyle w:val="ListParagraph"/>
        <w:numPr>
          <w:ilvl w:val="1"/>
          <w:numId w:val="8"/>
        </w:numPr>
      </w:pPr>
      <w:r>
        <w:t>This accounts for</w:t>
      </w:r>
      <w:r w:rsidR="00AD2EA9">
        <w:t xml:space="preserve"> Schaffer</w:t>
      </w:r>
      <w:r>
        <w:t xml:space="preserve">, in which they were surprised and had no idea they were subject to PJ. </w:t>
      </w:r>
    </w:p>
    <w:p w14:paraId="1DE9F2D1" w14:textId="05A3B340" w:rsidR="0069292F" w:rsidRDefault="0069292F" w:rsidP="0069292F">
      <w:pPr>
        <w:pStyle w:val="ListParagraph"/>
        <w:numPr>
          <w:ilvl w:val="1"/>
          <w:numId w:val="8"/>
        </w:numPr>
      </w:pPr>
      <w:r>
        <w:t xml:space="preserve">Language of this sort can be found in </w:t>
      </w:r>
      <w:r>
        <w:t>Brennan in Burnham: You knowingly assume you could be tagged, the reasonable anticipation standard.</w:t>
      </w:r>
    </w:p>
    <w:p w14:paraId="07517DF9" w14:textId="77777777" w:rsidR="00AD2EA9" w:rsidRDefault="00AD2EA9"/>
    <w:p w14:paraId="5C5A71BA" w14:textId="5F5853FB" w:rsidR="00AD2EA9" w:rsidRDefault="00AD2EA9">
      <w:r>
        <w:t xml:space="preserve">If you don’t like Schaffer </w:t>
      </w:r>
      <w:r w:rsidR="001B729F">
        <w:t>where it says blanket phrase that all actions of PJ</w:t>
      </w:r>
      <w:r>
        <w:t xml:space="preserve"> must use </w:t>
      </w:r>
      <w:r w:rsidR="001B729F">
        <w:t xml:space="preserve">International </w:t>
      </w:r>
      <w:r>
        <w:t xml:space="preserve">Shoe there are lots of ways and subtle ways to distinguish it. </w:t>
      </w:r>
      <w:r w:rsidR="001B729F">
        <w:t xml:space="preserve"> (Professor Green leans towards supporting the last suggestion).</w:t>
      </w:r>
      <w:r>
        <w:t xml:space="preserve"> </w:t>
      </w:r>
    </w:p>
    <w:p w14:paraId="191D213F" w14:textId="77777777" w:rsidR="00AD2EA9" w:rsidRDefault="00AD2EA9"/>
    <w:p w14:paraId="45067377" w14:textId="2F7D193E" w:rsidR="00534FD1" w:rsidRDefault="00AD2EA9">
      <w:r>
        <w:t>Scalia</w:t>
      </w:r>
      <w:r w:rsidR="00F11878">
        <w:t xml:space="preserve"> in Burnham</w:t>
      </w:r>
      <w:r>
        <w:t xml:space="preserve">: Distinguishes quasi in rem </w:t>
      </w:r>
      <w:r w:rsidR="00661365">
        <w:t xml:space="preserve">in Shaffer </w:t>
      </w:r>
      <w:r>
        <w:t xml:space="preserve">from tagging. </w:t>
      </w:r>
    </w:p>
    <w:p w14:paraId="0D913E70" w14:textId="5613DC9B" w:rsidR="00AD2EA9" w:rsidRDefault="00AD2EA9" w:rsidP="00534FD1">
      <w:pPr>
        <w:pStyle w:val="ListParagraph"/>
        <w:numPr>
          <w:ilvl w:val="0"/>
          <w:numId w:val="9"/>
        </w:numPr>
      </w:pPr>
      <w:r>
        <w:t>Constitutionally permissible if it was accepted at the time of the 14</w:t>
      </w:r>
      <w:r w:rsidRPr="00534FD1">
        <w:rPr>
          <w:vertAlign w:val="superscript"/>
        </w:rPr>
        <w:t>th</w:t>
      </w:r>
      <w:r w:rsidR="00534FD1">
        <w:t xml:space="preserve"> Amend. </w:t>
      </w:r>
      <w:r w:rsidR="00534FD1" w:rsidRPr="00534FD1">
        <w:rPr>
          <w:b/>
        </w:rPr>
        <w:t>and</w:t>
      </w:r>
      <w:r w:rsidR="00534FD1">
        <w:t xml:space="preserve"> is </w:t>
      </w:r>
      <w:r>
        <w:t>still used today</w:t>
      </w:r>
      <w:r w:rsidR="00534FD1">
        <w:t xml:space="preserve">. This theory </w:t>
      </w:r>
      <w:r>
        <w:t>explain</w:t>
      </w:r>
      <w:r w:rsidR="00534FD1">
        <w:t>s PJ</w:t>
      </w:r>
      <w:r>
        <w:t xml:space="preserve"> well because</w:t>
      </w:r>
      <w:r w:rsidR="00534FD1">
        <w:t xml:space="preserve"> it knocks out the stocks in Sch</w:t>
      </w:r>
      <w:r>
        <w:t>affer</w:t>
      </w:r>
      <w:r w:rsidR="00534FD1">
        <w:t>,</w:t>
      </w:r>
      <w:r w:rsidR="0069292F">
        <w:t xml:space="preserve"> but not tagging or quasi in rem involving real property/bank accounts</w:t>
      </w:r>
    </w:p>
    <w:p w14:paraId="18150C48" w14:textId="77777777" w:rsidR="00AD2EA9" w:rsidRDefault="00AD2EA9"/>
    <w:p w14:paraId="3EB0DE34" w14:textId="77777777" w:rsidR="00F11878" w:rsidRDefault="00F11878" w:rsidP="00F11878"/>
    <w:p w14:paraId="79FFB2EF" w14:textId="2750C8B6" w:rsidR="00B80CE6" w:rsidRPr="00B80CE6" w:rsidRDefault="008E7873">
      <w:pPr>
        <w:rPr>
          <w:i/>
        </w:rPr>
      </w:pPr>
      <w:r>
        <w:rPr>
          <w:i/>
        </w:rPr>
        <w:t xml:space="preserve">Additional </w:t>
      </w:r>
      <w:r w:rsidR="00B80CE6" w:rsidRPr="00B80CE6">
        <w:rPr>
          <w:i/>
        </w:rPr>
        <w:t xml:space="preserve">Notes: </w:t>
      </w:r>
    </w:p>
    <w:p w14:paraId="19912898" w14:textId="19CEDD02" w:rsidR="00EC070B" w:rsidRDefault="00534FD1" w:rsidP="00EC070B">
      <w:pPr>
        <w:pStyle w:val="ListParagraph"/>
        <w:numPr>
          <w:ilvl w:val="0"/>
          <w:numId w:val="11"/>
        </w:numPr>
      </w:pPr>
      <w:r w:rsidRPr="005301F1">
        <w:t>This topic in general offers o</w:t>
      </w:r>
      <w:r w:rsidR="00AD2EA9" w:rsidRPr="005301F1">
        <w:t>ption</w:t>
      </w:r>
      <w:r w:rsidRPr="005301F1">
        <w:t>s for creativity in a possible exam question</w:t>
      </w:r>
      <w:r w:rsidR="00EC070B" w:rsidRPr="005301F1">
        <w:t xml:space="preserve">, </w:t>
      </w:r>
      <w:r w:rsidR="005301F1">
        <w:t>(</w:t>
      </w:r>
      <w:r w:rsidR="00EC070B" w:rsidRPr="005301F1">
        <w:t>but</w:t>
      </w:r>
      <w:r w:rsidR="005301F1">
        <w:t xml:space="preserve"> </w:t>
      </w:r>
      <w:r w:rsidR="005301F1" w:rsidRPr="005301F1">
        <w:t>o</w:t>
      </w:r>
      <w:r w:rsidR="00EC070B" w:rsidRPr="005301F1">
        <w:t>nly do it if it is a form of PJ that is okay under Pennoyer and problematic under Int’l Shoe</w:t>
      </w:r>
      <w:r w:rsidR="005301F1">
        <w:t>).</w:t>
      </w:r>
      <w:r w:rsidR="00EC070B" w:rsidRPr="005301F1">
        <w:t xml:space="preserve"> Don’t mention any </w:t>
      </w:r>
      <w:r w:rsidR="0069292F">
        <w:t xml:space="preserve">of this in a </w:t>
      </w:r>
      <w:r w:rsidR="00EC070B" w:rsidRPr="005301F1">
        <w:t xml:space="preserve">specific PJ, this is always okay because it was created by Int’l Shoe. </w:t>
      </w:r>
    </w:p>
    <w:p w14:paraId="2596BDA4" w14:textId="77777777" w:rsidR="005301F1" w:rsidRPr="005301F1" w:rsidRDefault="005301F1" w:rsidP="005301F1">
      <w:pPr>
        <w:pStyle w:val="ListParagraph"/>
      </w:pPr>
    </w:p>
    <w:p w14:paraId="57641917" w14:textId="0979E27A" w:rsidR="00AD2EA9" w:rsidRDefault="00B80CE6" w:rsidP="00EC070B">
      <w:pPr>
        <w:pStyle w:val="ListParagraph"/>
        <w:numPr>
          <w:ilvl w:val="0"/>
          <w:numId w:val="11"/>
        </w:numPr>
      </w:pPr>
      <w:r w:rsidRPr="005301F1">
        <w:t>Be grudging about dicta in the Supreme Court</w:t>
      </w:r>
      <w:proofErr w:type="gramStart"/>
      <w:r w:rsidRPr="005301F1">
        <w:t>..</w:t>
      </w:r>
      <w:proofErr w:type="gramEnd"/>
      <w:r w:rsidRPr="005301F1">
        <w:t xml:space="preserve"> (E.g. </w:t>
      </w:r>
      <w:r w:rsidRPr="005301F1">
        <w:rPr>
          <w:i/>
        </w:rPr>
        <w:t>All</w:t>
      </w:r>
      <w:r w:rsidRPr="005301F1">
        <w:t xml:space="preserve"> cases must use Int’l Shoe, </w:t>
      </w:r>
      <w:r w:rsidRPr="005301F1">
        <w:rPr>
          <w:i/>
        </w:rPr>
        <w:t>all</w:t>
      </w:r>
      <w:r w:rsidRPr="005301F1">
        <w:t xml:space="preserve"> property must be attached before the action, etc.)</w:t>
      </w:r>
      <w:r w:rsidR="0069292F">
        <w:t xml:space="preserve"> </w:t>
      </w:r>
      <w:r w:rsidR="0069292F" w:rsidRPr="005301F1">
        <w:t>Focus on what they wrote</w:t>
      </w:r>
      <w:r w:rsidR="0069292F">
        <w:t xml:space="preserve"> that is necessary</w:t>
      </w:r>
      <w:r w:rsidR="0069292F" w:rsidRPr="005301F1">
        <w:t xml:space="preserve"> to actually settle the case</w:t>
      </w:r>
    </w:p>
    <w:p w14:paraId="22F5FBF8" w14:textId="77777777" w:rsidR="005301F1" w:rsidRPr="005301F1" w:rsidRDefault="005301F1" w:rsidP="008E7873"/>
    <w:p w14:paraId="26D0DB43" w14:textId="58617237" w:rsidR="00B80CE6" w:rsidRPr="001E0C7A" w:rsidRDefault="005301F1" w:rsidP="001E0C7A">
      <w:pPr>
        <w:pStyle w:val="ListParagraph"/>
        <w:numPr>
          <w:ilvl w:val="0"/>
          <w:numId w:val="11"/>
        </w:numPr>
      </w:pPr>
      <w:r w:rsidRPr="005301F1">
        <w:t>Even if it’s a specific jurisdiction case</w:t>
      </w:r>
      <w:r>
        <w:t xml:space="preserve"> focus on the type of specific PJ</w:t>
      </w:r>
      <w:r w:rsidRPr="005301F1">
        <w:t>. If it’s a strea</w:t>
      </w:r>
      <w:r>
        <w:t>m of commerce case focus on those</w:t>
      </w:r>
      <w:r w:rsidRPr="005301F1">
        <w:t xml:space="preserve"> case</w:t>
      </w:r>
      <w:r>
        <w:t>s we read</w:t>
      </w:r>
      <w:r w:rsidRPr="005301F1">
        <w:t xml:space="preserve">, not </w:t>
      </w:r>
      <w:r>
        <w:t xml:space="preserve"> (for example) Burger King case about contracts, not related to stream of commerce.</w:t>
      </w:r>
    </w:p>
    <w:p w14:paraId="066B8BCE" w14:textId="77777777" w:rsidR="00805F35" w:rsidRDefault="00805F35"/>
    <w:p w14:paraId="66DF1641" w14:textId="58B6DF98" w:rsidR="00805F35" w:rsidRDefault="005301F1">
      <w:r>
        <w:t xml:space="preserve">Alternative theories: </w:t>
      </w:r>
    </w:p>
    <w:p w14:paraId="23F223CF" w14:textId="572E0B3A" w:rsidR="0069292F" w:rsidRDefault="0069292F" w:rsidP="006A195F">
      <w:pPr>
        <w:pStyle w:val="ListParagraph"/>
        <w:numPr>
          <w:ilvl w:val="0"/>
          <w:numId w:val="9"/>
        </w:numPr>
      </w:pPr>
      <w:r>
        <w:t>Be sure to check if more than one type of PJ will work</w:t>
      </w:r>
    </w:p>
    <w:p w14:paraId="361DFC9C" w14:textId="77777777" w:rsidR="0069292F" w:rsidRDefault="0069292F" w:rsidP="0069292F">
      <w:pPr>
        <w:pStyle w:val="ListParagraph"/>
        <w:numPr>
          <w:ilvl w:val="0"/>
          <w:numId w:val="9"/>
        </w:numPr>
      </w:pPr>
      <w:proofErr w:type="spellStart"/>
      <w:r>
        <w:t>Eg</w:t>
      </w:r>
      <w:proofErr w:type="spellEnd"/>
      <w:r>
        <w:t xml:space="preserve"> if quasi in rem is a problem in Shaffer c</w:t>
      </w:r>
      <w:r w:rsidR="00805F35">
        <w:t xml:space="preserve">an set aside </w:t>
      </w:r>
      <w:r>
        <w:t>property in Del</w:t>
      </w:r>
      <w:r w:rsidR="00805F35">
        <w:t xml:space="preserve"> and look at other contacts (defendants in Shaffer had other contacts with Delaware)</w:t>
      </w:r>
      <w:r>
        <w:t>, arguing for specific PJ</w:t>
      </w:r>
      <w:r w:rsidR="006A195F">
        <w:t xml:space="preserve">. </w:t>
      </w:r>
    </w:p>
    <w:p w14:paraId="33988179" w14:textId="120F6DA5" w:rsidR="00805F35" w:rsidRDefault="0069292F" w:rsidP="0069292F">
      <w:pPr>
        <w:pStyle w:val="ListParagraph"/>
        <w:numPr>
          <w:ilvl w:val="0"/>
          <w:numId w:val="9"/>
        </w:numPr>
      </w:pPr>
      <w:r>
        <w:t xml:space="preserve">Same point was true of Burnham. If tagging is a problem, look to see if there is specific PJ. </w:t>
      </w:r>
    </w:p>
    <w:p w14:paraId="60E547C8" w14:textId="77777777" w:rsidR="00525055" w:rsidRDefault="00525055"/>
    <w:p w14:paraId="69DC9DCF" w14:textId="77777777" w:rsidR="005301F1" w:rsidRPr="00A6350D" w:rsidRDefault="005301F1">
      <w:pPr>
        <w:rPr>
          <w:b/>
        </w:rPr>
      </w:pPr>
      <w:r w:rsidRPr="00A6350D">
        <w:rPr>
          <w:b/>
        </w:rPr>
        <w:t xml:space="preserve">Burnham v. Superior Court (U.S. 1990) </w:t>
      </w:r>
    </w:p>
    <w:p w14:paraId="1714BFAA" w14:textId="038E5A38" w:rsidR="00A6350D" w:rsidRDefault="00A6350D" w:rsidP="00A6350D">
      <w:r>
        <w:t>Issue: Is tagging still a good form of personal jurisdiction?</w:t>
      </w:r>
    </w:p>
    <w:p w14:paraId="0727CD92" w14:textId="77777777" w:rsidR="00A6350D" w:rsidRDefault="00A6350D" w:rsidP="00A6350D"/>
    <w:p w14:paraId="18DA3FCE" w14:textId="19C0A9D5" w:rsidR="00A6350D" w:rsidRDefault="00A6350D" w:rsidP="00A6350D">
      <w:r>
        <w:t>Brennan: tagging is okay in this case – a person should reasonably expect they could be tagged</w:t>
      </w:r>
      <w:r w:rsidR="0069292F">
        <w:t xml:space="preserve"> and subject to PJ when in state</w:t>
      </w:r>
      <w:r>
        <w:t>.</w:t>
      </w:r>
      <w:r w:rsidR="0069292F">
        <w:t xml:space="preserve"> Also</w:t>
      </w:r>
      <w:r>
        <w:t xml:space="preserve"> Burnham gets all of the benefits from the state, c</w:t>
      </w:r>
      <w:r w:rsidR="0069292F">
        <w:t xml:space="preserve">ommensurate with PJ obligation under Int’l Shoe </w:t>
      </w:r>
    </w:p>
    <w:p w14:paraId="641E2B20" w14:textId="77777777" w:rsidR="00A6350D" w:rsidRDefault="00A6350D" w:rsidP="00A6350D"/>
    <w:p w14:paraId="07CE7DEF" w14:textId="33C223CA" w:rsidR="00A6350D" w:rsidRDefault="006E570E" w:rsidP="00A6350D">
      <w:r>
        <w:t xml:space="preserve">Scalia – Burnham not really getting </w:t>
      </w:r>
      <w:r w:rsidR="0069292F">
        <w:t>sufficient</w:t>
      </w:r>
      <w:r>
        <w:t xml:space="preserve"> benefits</w:t>
      </w:r>
      <w:r w:rsidR="0069292F">
        <w:t xml:space="preserve"> to be sued on any cause of action</w:t>
      </w:r>
      <w:r>
        <w:t>, only t</w:t>
      </w:r>
      <w:r w:rsidR="00A6350D">
        <w:t>hree days</w:t>
      </w:r>
      <w:r>
        <w:t xml:space="preserve"> is not enou</w:t>
      </w:r>
      <w:r w:rsidR="0069292F">
        <w:t xml:space="preserve">gh on this basis to justify PJ under </w:t>
      </w:r>
      <w:proofErr w:type="spellStart"/>
      <w:r w:rsidR="0069292F">
        <w:t>Unt’l</w:t>
      </w:r>
      <w:proofErr w:type="spellEnd"/>
      <w:r w:rsidR="0069292F">
        <w:t xml:space="preserve"> Shoe theory</w:t>
      </w:r>
    </w:p>
    <w:p w14:paraId="09EBDB9E" w14:textId="77777777" w:rsidR="004B6226" w:rsidRDefault="004B6226"/>
    <w:p w14:paraId="3854F92B" w14:textId="3446C32A" w:rsidR="004B6226" w:rsidRDefault="004B6226">
      <w:r>
        <w:t xml:space="preserve">Glannon: </w:t>
      </w:r>
      <w:r w:rsidRPr="004B6226">
        <w:t xml:space="preserve">“Justice Scalia and three other justices concluded that the </w:t>
      </w:r>
      <w:r w:rsidRPr="004B6226">
        <w:rPr>
          <w:i/>
          <w:iCs/>
        </w:rPr>
        <w:t xml:space="preserve">Shaffer </w:t>
      </w:r>
      <w:r w:rsidRPr="004B6226">
        <w:t xml:space="preserve">opinion really meant to say that assertions of in personam, quasi in rem, and in rem jurisdiction had to meet the </w:t>
      </w:r>
      <w:r w:rsidRPr="004B6226">
        <w:rPr>
          <w:i/>
          <w:iCs/>
        </w:rPr>
        <w:t xml:space="preserve">Int’l Shoe </w:t>
      </w:r>
      <w:r w:rsidRPr="004B6226">
        <w:t xml:space="preserve">standard, not that </w:t>
      </w:r>
      <w:r w:rsidRPr="004B6226">
        <w:rPr>
          <w:i/>
          <w:iCs/>
        </w:rPr>
        <w:t>Int’l Shoe</w:t>
      </w:r>
      <w:r w:rsidRPr="004B6226">
        <w:t xml:space="preserve"> applied to </w:t>
      </w:r>
      <w:r w:rsidRPr="004B6226">
        <w:rPr>
          <w:i/>
          <w:iCs/>
        </w:rPr>
        <w:t>other</w:t>
      </w:r>
      <w:r w:rsidRPr="004B6226">
        <w:t xml:space="preserve"> bases for personal jurisdiction, like transient presence.”</w:t>
      </w:r>
    </w:p>
    <w:p w14:paraId="19B9E027" w14:textId="77777777" w:rsidR="004B6226" w:rsidRDefault="004B6226"/>
    <w:p w14:paraId="2B0FB75B" w14:textId="4A2CD475" w:rsidR="00525055" w:rsidRDefault="004B6226">
      <w:r>
        <w:t xml:space="preserve">Professor Green: </w:t>
      </w:r>
      <w:r w:rsidR="005301F1">
        <w:t>Glannon makes a mistake</w:t>
      </w:r>
      <w:r>
        <w:t xml:space="preserve"> - </w:t>
      </w:r>
      <w:r w:rsidR="00C617EC">
        <w:t xml:space="preserve">transient presence </w:t>
      </w:r>
      <w:r w:rsidR="00C617EC" w:rsidRPr="004B6226">
        <w:rPr>
          <w:i/>
        </w:rPr>
        <w:t>is an example</w:t>
      </w:r>
      <w:r w:rsidR="00C617EC">
        <w:t xml:space="preserve"> of in personam</w:t>
      </w:r>
    </w:p>
    <w:p w14:paraId="22DA990E" w14:textId="77777777" w:rsidR="00C617EC" w:rsidRDefault="00C617EC"/>
    <w:p w14:paraId="4DA8098D" w14:textId="558F988C" w:rsidR="006E570E" w:rsidRDefault="006E570E">
      <w:r>
        <w:t xml:space="preserve">Remember three kinds of personal jurisdiction: in personam, quasi in rem, in rem. The vast majority of all cases are in personam. </w:t>
      </w:r>
    </w:p>
    <w:p w14:paraId="26D26908" w14:textId="77777777" w:rsidR="005D30A0" w:rsidRDefault="005D30A0"/>
    <w:p w14:paraId="07E23A0F" w14:textId="41CE719C" w:rsidR="00A25A91" w:rsidRDefault="00A25A91">
      <w:r>
        <w:t>Set aside</w:t>
      </w:r>
      <w:r w:rsidR="006E570E">
        <w:t xml:space="preserve"> the question</w:t>
      </w:r>
      <w:r w:rsidR="0069292F">
        <w:t xml:space="preserve"> of</w:t>
      </w:r>
      <w:r>
        <w:t xml:space="preserve"> tagging</w:t>
      </w:r>
      <w:r w:rsidR="0069292F">
        <w:t xml:space="preserve"> and look to a</w:t>
      </w:r>
      <w:r w:rsidR="006E570E">
        <w:t xml:space="preserve">nother possible </w:t>
      </w:r>
      <w:r>
        <w:t>story why PJ in Burnham satisfies</w:t>
      </w:r>
      <w:r w:rsidR="0069292F">
        <w:t xml:space="preserve"> Int’l Shoe</w:t>
      </w:r>
    </w:p>
    <w:p w14:paraId="7B7F2B0F" w14:textId="27E954ED" w:rsidR="00A25A91" w:rsidRDefault="00A25A91" w:rsidP="006E570E">
      <w:pPr>
        <w:pStyle w:val="ListParagraph"/>
        <w:numPr>
          <w:ilvl w:val="0"/>
          <w:numId w:val="12"/>
        </w:numPr>
      </w:pPr>
      <w:r>
        <w:t xml:space="preserve">His family is there, the cause of action is </w:t>
      </w:r>
      <w:r w:rsidRPr="006E570E">
        <w:rPr>
          <w:i/>
        </w:rPr>
        <w:t>related</w:t>
      </w:r>
      <w:r>
        <w:t xml:space="preserve"> to his family. Maybe</w:t>
      </w:r>
      <w:r w:rsidR="006E570E">
        <w:t xml:space="preserve"> the real issue</w:t>
      </w:r>
      <w:r>
        <w:t xml:space="preserve"> depends on </w:t>
      </w:r>
      <w:r w:rsidR="006E570E">
        <w:t xml:space="preserve">whether Burnham </w:t>
      </w:r>
      <w:r>
        <w:t>consent</w:t>
      </w:r>
      <w:r w:rsidR="006E570E">
        <w:t>ed for the family</w:t>
      </w:r>
      <w:r>
        <w:t xml:space="preserve"> moving to California? He gets a lot from a state, but not from a state that he chose. Could</w:t>
      </w:r>
      <w:r w:rsidR="006E570E">
        <w:t xml:space="preserve"> possibly </w:t>
      </w:r>
      <w:proofErr w:type="spellStart"/>
      <w:r w:rsidR="006E570E">
        <w:t>created</w:t>
      </w:r>
      <w:proofErr w:type="spellEnd"/>
      <w:r w:rsidR="0069292F">
        <w:t xml:space="preserve"> specific</w:t>
      </w:r>
      <w:r w:rsidR="006E570E">
        <w:t xml:space="preserve"> PJ</w:t>
      </w:r>
      <w:r>
        <w:t xml:space="preserve"> independently of tagging. </w:t>
      </w:r>
    </w:p>
    <w:p w14:paraId="5A4886E3" w14:textId="77777777" w:rsidR="006E570E" w:rsidRDefault="006E570E"/>
    <w:p w14:paraId="21680101" w14:textId="617237CC" w:rsidR="00A25A91" w:rsidRDefault="00CD5FB8">
      <w:r>
        <w:t xml:space="preserve">Burnham sounds a little like Burger King. The other side is compelling his contact with the state. Not a contract case, but BK would still be relevant. Kids aspect makes it very difficult to figure out. </w:t>
      </w:r>
    </w:p>
    <w:p w14:paraId="525AF410" w14:textId="0D77DC47" w:rsidR="00327AC9" w:rsidRDefault="00327AC9">
      <w:r>
        <w:t>(But the case is about the divorce, not necessarily related to the kids)</w:t>
      </w:r>
    </w:p>
    <w:p w14:paraId="4A4A38EE" w14:textId="77777777" w:rsidR="00327AC9" w:rsidRDefault="00327AC9"/>
    <w:p w14:paraId="1C76D196" w14:textId="34EA37F8" w:rsidR="00327AC9" w:rsidRPr="007774D8" w:rsidRDefault="00327AC9">
      <w:pPr>
        <w:rPr>
          <w:b/>
        </w:rPr>
      </w:pPr>
      <w:r w:rsidRPr="007774D8">
        <w:rPr>
          <w:b/>
        </w:rPr>
        <w:t>Scalia on Brennan?</w:t>
      </w:r>
    </w:p>
    <w:p w14:paraId="66E8777E" w14:textId="3D6BC71D" w:rsidR="00327AC9" w:rsidRDefault="00DB2409">
      <w:r>
        <w:t xml:space="preserve">Scalia complaints: </w:t>
      </w:r>
      <w:r w:rsidR="007774D8">
        <w:t>Scalia s</w:t>
      </w:r>
      <w:r w:rsidR="00327AC9">
        <w:t xml:space="preserve">ounds like J. Black in International Shoe, concerns about </w:t>
      </w:r>
      <w:r w:rsidR="007774D8">
        <w:t>judges’</w:t>
      </w:r>
      <w:r w:rsidR="00327AC9">
        <w:t xml:space="preserve"> moral whims</w:t>
      </w:r>
      <w:r w:rsidR="007774D8">
        <w:t xml:space="preserve"> deciding cases. </w:t>
      </w:r>
    </w:p>
    <w:p w14:paraId="08B18F83" w14:textId="77777777" w:rsidR="00327AC9" w:rsidRDefault="00327AC9"/>
    <w:p w14:paraId="5EDE3509" w14:textId="223244BB" w:rsidR="00327AC9" w:rsidRDefault="00327AC9">
      <w:r>
        <w:t>Brennan’s answer:</w:t>
      </w:r>
      <w:r w:rsidR="0069292F">
        <w:t xml:space="preserve"> Not my moral whims -i</w:t>
      </w:r>
      <w:r w:rsidR="00DB2409">
        <w:t>ncredibly long tradition</w:t>
      </w:r>
      <w:r w:rsidR="0069292F">
        <w:t xml:space="preserve"> of standard in Int’l Shoe</w:t>
      </w:r>
      <w:r>
        <w:t xml:space="preserve">. These aren’t just his moral thoughts, long </w:t>
      </w:r>
      <w:r w:rsidR="0069292F">
        <w:t>“</w:t>
      </w:r>
      <w:r>
        <w:t>common law</w:t>
      </w:r>
      <w:r w:rsidR="0069292F">
        <w:t>”</w:t>
      </w:r>
      <w:r>
        <w:t xml:space="preserve"> tradition about what is required.</w:t>
      </w:r>
    </w:p>
    <w:p w14:paraId="56D720D5" w14:textId="77777777" w:rsidR="00327AC9" w:rsidRDefault="00327AC9"/>
    <w:p w14:paraId="032A0F7B" w14:textId="57BD995B" w:rsidR="00327AC9" w:rsidRPr="00DB2409" w:rsidRDefault="00327AC9">
      <w:pPr>
        <w:rPr>
          <w:b/>
        </w:rPr>
      </w:pPr>
      <w:r w:rsidRPr="00DB2409">
        <w:rPr>
          <w:b/>
        </w:rPr>
        <w:t>What about McGee factors? (</w:t>
      </w:r>
      <w:r w:rsidR="00DB2409" w:rsidRPr="00DB2409">
        <w:rPr>
          <w:b/>
        </w:rPr>
        <w:t>When</w:t>
      </w:r>
      <w:r w:rsidRPr="00DB2409">
        <w:rPr>
          <w:b/>
        </w:rPr>
        <w:t xml:space="preserve"> tagging)</w:t>
      </w:r>
    </w:p>
    <w:p w14:paraId="44F1416D" w14:textId="39E8DA33" w:rsidR="00327AC9" w:rsidRDefault="00DB2409" w:rsidP="00DB2409">
      <w:pPr>
        <w:pStyle w:val="ListParagraph"/>
        <w:numPr>
          <w:ilvl w:val="0"/>
          <w:numId w:val="12"/>
        </w:numPr>
      </w:pPr>
      <w:r>
        <w:t>Remember i</w:t>
      </w:r>
      <w:r w:rsidR="00327AC9">
        <w:t>n specific jurisdiction must “reach out” etc.</w:t>
      </w:r>
      <w:r>
        <w:t xml:space="preserve"> and </w:t>
      </w:r>
      <w:r w:rsidRPr="00DB2409">
        <w:rPr>
          <w:i/>
        </w:rPr>
        <w:t>a</w:t>
      </w:r>
      <w:r w:rsidR="00327AC9" w:rsidRPr="00DB2409">
        <w:rPr>
          <w:i/>
        </w:rPr>
        <w:t>lso</w:t>
      </w:r>
      <w:r w:rsidR="00327AC9">
        <w:t xml:space="preserve"> </w:t>
      </w:r>
      <w:r w:rsidR="00327AC9" w:rsidRPr="00DB2409">
        <w:t>must</w:t>
      </w:r>
      <w:r w:rsidR="00327AC9">
        <w:t xml:space="preserve"> satisfy the McGee factors</w:t>
      </w:r>
      <w:r w:rsidR="0069292F">
        <w:t>\</w:t>
      </w:r>
    </w:p>
    <w:p w14:paraId="7D838742" w14:textId="1FB2EB29" w:rsidR="0069292F" w:rsidRDefault="0069292F" w:rsidP="00DB2409">
      <w:pPr>
        <w:pStyle w:val="ListParagraph"/>
        <w:numPr>
          <w:ilvl w:val="0"/>
          <w:numId w:val="12"/>
        </w:numPr>
      </w:pPr>
      <w:r>
        <w:t>Not clear that they are relevant</w:t>
      </w:r>
    </w:p>
    <w:p w14:paraId="08EF4148" w14:textId="77777777" w:rsidR="00327AC9" w:rsidRDefault="00327AC9"/>
    <w:p w14:paraId="53A0E5ED" w14:textId="2895DFF2" w:rsidR="00327AC9" w:rsidRDefault="00DB2409">
      <w:r>
        <w:t xml:space="preserve">Question: </w:t>
      </w:r>
      <w:r w:rsidR="00327AC9">
        <w:t>Could the McGee factors also knock out PJ under tagging?</w:t>
      </w:r>
    </w:p>
    <w:p w14:paraId="761AE8AF" w14:textId="113B984D" w:rsidR="00327AC9" w:rsidRDefault="00DB2409">
      <w:r>
        <w:t xml:space="preserve">Answer: </w:t>
      </w:r>
      <w:r w:rsidR="005D7C27">
        <w:t xml:space="preserve">This wouldn’t work under Scalia’s definition, but maybe under another explanation for tagging </w:t>
      </w:r>
      <w:r w:rsidR="008D28EE">
        <w:t xml:space="preserve">as an acceptable form of </w:t>
      </w:r>
      <w:r w:rsidR="005D7C27">
        <w:t>PJ</w:t>
      </w:r>
      <w:r w:rsidR="0069292F">
        <w:t xml:space="preserve"> </w:t>
      </w:r>
    </w:p>
    <w:p w14:paraId="55484940" w14:textId="77777777" w:rsidR="005D7C27" w:rsidRDefault="005D7C27"/>
    <w:p w14:paraId="6CFEC29D" w14:textId="25FAC806" w:rsidR="005D7C27" w:rsidRPr="0069292F" w:rsidRDefault="005D7C27">
      <w:pPr>
        <w:rPr>
          <w:i/>
        </w:rPr>
      </w:pPr>
      <w:r w:rsidRPr="008D28EE">
        <w:rPr>
          <w:i/>
        </w:rPr>
        <w:t>N</w:t>
      </w:r>
      <w:r w:rsidR="008D28EE" w:rsidRPr="008D28EE">
        <w:rPr>
          <w:i/>
        </w:rPr>
        <w:t xml:space="preserve">ote: Work out in your own mind </w:t>
      </w:r>
      <w:r w:rsidRPr="008D28EE">
        <w:rPr>
          <w:i/>
        </w:rPr>
        <w:t xml:space="preserve">about the current state of PJ </w:t>
      </w:r>
      <w:r w:rsidR="008D28EE" w:rsidRPr="008D28EE">
        <w:rPr>
          <w:i/>
        </w:rPr>
        <w:t xml:space="preserve">under </w:t>
      </w:r>
      <w:r w:rsidRPr="008D28EE">
        <w:rPr>
          <w:i/>
        </w:rPr>
        <w:t>Constitutional law and be able to justify it based on what we’ve read.</w:t>
      </w:r>
      <w:r w:rsidR="0069292F">
        <w:rPr>
          <w:i/>
        </w:rPr>
        <w:t xml:space="preserve"> The big problem is figuring out the extent to which old </w:t>
      </w:r>
      <w:proofErr w:type="spellStart"/>
      <w:r w:rsidR="0069292F">
        <w:rPr>
          <w:i/>
        </w:rPr>
        <w:t>Pennoyer</w:t>
      </w:r>
      <w:proofErr w:type="spellEnd"/>
      <w:r w:rsidR="0069292F">
        <w:rPr>
          <w:i/>
        </w:rPr>
        <w:t xml:space="preserve"> forms of PJ are still good law</w:t>
      </w:r>
    </w:p>
    <w:p w14:paraId="6E7586D5" w14:textId="77777777" w:rsidR="005A6C80" w:rsidRDefault="005A6C80"/>
    <w:p w14:paraId="62A79331" w14:textId="6B38BC8C" w:rsidR="008D28EE" w:rsidRPr="008D28EE" w:rsidRDefault="005A6C80" w:rsidP="006E7067">
      <w:pPr>
        <w:jc w:val="center"/>
        <w:rPr>
          <w:b/>
          <w:i/>
        </w:rPr>
      </w:pPr>
      <w:r>
        <w:rPr>
          <w:b/>
          <w:i/>
        </w:rPr>
        <w:t xml:space="preserve">Tagging </w:t>
      </w:r>
      <w:r w:rsidR="008D28EE" w:rsidRPr="008D28EE">
        <w:rPr>
          <w:b/>
          <w:i/>
        </w:rPr>
        <w:t>Practice Examples:</w:t>
      </w:r>
    </w:p>
    <w:p w14:paraId="4FD02606" w14:textId="51C69E2F" w:rsidR="005D7C27" w:rsidRDefault="005D7C27">
      <w:r w:rsidRPr="005D7C27">
        <w:t>D is</w:t>
      </w:r>
      <w:r>
        <w:t xml:space="preserve"> lured into a state and tagged.</w:t>
      </w:r>
    </w:p>
    <w:p w14:paraId="02D51186" w14:textId="7F4F8686" w:rsidR="005D7C27" w:rsidRDefault="005D7C27">
      <w:r w:rsidRPr="005D7C27">
        <w:t>PJ</w:t>
      </w:r>
      <w:r>
        <w:t>?</w:t>
      </w:r>
    </w:p>
    <w:p w14:paraId="28E8B46C" w14:textId="77777777" w:rsidR="005D7C27" w:rsidRDefault="005D7C27"/>
    <w:p w14:paraId="025E62E3" w14:textId="3EF748B8" w:rsidR="005D7C27" w:rsidRDefault="00F74D5A">
      <w:r>
        <w:t>Professor Green: Glannon makes a m</w:t>
      </w:r>
      <w:r w:rsidR="005D7C27">
        <w:t xml:space="preserve">istake. </w:t>
      </w:r>
      <w:r w:rsidR="0069292F">
        <w:t>Case he sites says</w:t>
      </w:r>
      <w:r w:rsidR="005D7C27">
        <w:t xml:space="preserve"> it is </w:t>
      </w:r>
      <w:r w:rsidR="0069292F">
        <w:t>no PJ</w:t>
      </w:r>
      <w:r w:rsidR="005D7C27">
        <w:t xml:space="preserve"> under NY law</w:t>
      </w:r>
      <w:r>
        <w:t>.</w:t>
      </w:r>
      <w:r w:rsidR="0069292F">
        <w:t xml:space="preserve"> The question is whether there is no PJ under 14</w:t>
      </w:r>
      <w:r w:rsidR="0069292F" w:rsidRPr="0069292F">
        <w:rPr>
          <w:vertAlign w:val="superscript"/>
        </w:rPr>
        <w:t>th</w:t>
      </w:r>
      <w:r w:rsidR="0069292F">
        <w:t xml:space="preserve"> Amendment</w:t>
      </w:r>
    </w:p>
    <w:p w14:paraId="315AB066" w14:textId="4DE1F527" w:rsidR="005D7C27" w:rsidRDefault="005D7C27">
      <w:r>
        <w:lastRenderedPageBreak/>
        <w:t xml:space="preserve">We said this was good law under </w:t>
      </w:r>
      <w:proofErr w:type="spellStart"/>
      <w:r>
        <w:t>Pennoyer</w:t>
      </w:r>
      <w:proofErr w:type="spellEnd"/>
      <w:r>
        <w:t xml:space="preserve"> </w:t>
      </w:r>
      <w:r w:rsidR="00567F2F">
        <w:t>– is that so now?</w:t>
      </w:r>
    </w:p>
    <w:p w14:paraId="1F9EF70A" w14:textId="6186E254" w:rsidR="005D7C27" w:rsidRDefault="00567F2F" w:rsidP="00567F2F">
      <w:r>
        <w:t>Look to various approaches in Burnham</w:t>
      </w:r>
    </w:p>
    <w:p w14:paraId="0AEAAD7F" w14:textId="6EDA67F8" w:rsidR="00C51175" w:rsidRDefault="00567F2F" w:rsidP="00567F2F">
      <w:pPr>
        <w:ind w:firstLine="720"/>
      </w:pPr>
      <w:r>
        <w:t>Brennan: Using Int’l Shoe standard - d</w:t>
      </w:r>
      <w:r w:rsidR="00C51175">
        <w:t xml:space="preserve">oesn’t </w:t>
      </w:r>
      <w:r w:rsidR="00F74D5A">
        <w:t>satisfy</w:t>
      </w:r>
      <w:r>
        <w:t xml:space="preserve"> International Shoe so probably no PJ…?</w:t>
      </w:r>
    </w:p>
    <w:p w14:paraId="5CE86C98" w14:textId="77777777" w:rsidR="00663C2E" w:rsidRDefault="00567F2F" w:rsidP="00663C2E">
      <w:pPr>
        <w:ind w:firstLine="720"/>
      </w:pPr>
      <w:r>
        <w:t xml:space="preserve">Reasonably </w:t>
      </w:r>
      <w:r w:rsidR="00663C2E">
        <w:t>anticipate PJ standard – maybe PJ? Even though you were lured you could probably anticipate tagging…?</w:t>
      </w:r>
    </w:p>
    <w:p w14:paraId="39D27DF3" w14:textId="3E248469" w:rsidR="00C51175" w:rsidRDefault="00C51175" w:rsidP="00663C2E">
      <w:pPr>
        <w:ind w:firstLine="720"/>
      </w:pPr>
      <w:r>
        <w:t>Scalia side: Traditionally accepted by the 14</w:t>
      </w:r>
      <w:r w:rsidRPr="00C51175">
        <w:rPr>
          <w:vertAlign w:val="superscript"/>
        </w:rPr>
        <w:t>th</w:t>
      </w:r>
      <w:r>
        <w:t xml:space="preserve"> Amend. BUT not accepted modern day states do not assert it so would most likely be unconstitutional</w:t>
      </w:r>
      <w:r w:rsidR="00663C2E">
        <w:t>…?</w:t>
      </w:r>
    </w:p>
    <w:p w14:paraId="5F89857A" w14:textId="77777777" w:rsidR="00C51175" w:rsidRDefault="00C51175"/>
    <w:p w14:paraId="37313317" w14:textId="77777777" w:rsidR="00C51175" w:rsidRDefault="00C51175" w:rsidP="00897BDE">
      <w:pPr>
        <w:pBdr>
          <w:top w:val="single" w:sz="4" w:space="1" w:color="auto"/>
        </w:pBdr>
      </w:pPr>
    </w:p>
    <w:p w14:paraId="59034B88" w14:textId="77777777" w:rsidR="005A6C80" w:rsidRDefault="005A6C80"/>
    <w:p w14:paraId="7581BFA3" w14:textId="1570BBB2" w:rsidR="00C51175" w:rsidRDefault="00897BDE">
      <w:r>
        <w:t>T</w:t>
      </w:r>
      <w:r w:rsidR="00C51175" w:rsidRPr="00C51175">
        <w:t>he CEO</w:t>
      </w:r>
      <w:r w:rsidR="00C51175">
        <w:t xml:space="preserve"> of the D. Corp is tagged in CA</w:t>
      </w:r>
      <w:r w:rsidR="00111658">
        <w:t xml:space="preserve"> (Corp is the one being sued.)</w:t>
      </w:r>
      <w:r w:rsidR="00C51175" w:rsidRPr="00C51175">
        <w:br/>
        <w:t>PJ in CA?</w:t>
      </w:r>
    </w:p>
    <w:p w14:paraId="5E0A04C4" w14:textId="77777777" w:rsidR="00111658" w:rsidRDefault="00111658"/>
    <w:p w14:paraId="4165C997" w14:textId="223BE3EB" w:rsidR="00111658" w:rsidRDefault="00111658">
      <w:r>
        <w:t xml:space="preserve">No! Tagging a human being is not a source of PJ over corporations (unless they’re an agent </w:t>
      </w:r>
      <w:r w:rsidR="00663C2E">
        <w:t>for service of</w:t>
      </w:r>
      <w:r>
        <w:t xml:space="preserve"> process</w:t>
      </w:r>
      <w:r w:rsidR="00663C2E">
        <w:t>, which is generally created only through state statutes – and whether they create PJ is itself a constitutional issue post-Int’l Shoe</w:t>
      </w:r>
      <w:r>
        <w:t>)</w:t>
      </w:r>
    </w:p>
    <w:p w14:paraId="23C6AE9F" w14:textId="77777777" w:rsidR="00111658" w:rsidRDefault="00111658"/>
    <w:p w14:paraId="424C5DE7" w14:textId="32801EBE" w:rsidR="00111658" w:rsidRDefault="00897BDE">
      <w:r>
        <w:t>Remember for PJ i</w:t>
      </w:r>
      <w:r w:rsidR="005A6C80">
        <w:t xml:space="preserve">t’s much better </w:t>
      </w:r>
      <w:r w:rsidR="00111658">
        <w:t xml:space="preserve">to be a corporation than a human. </w:t>
      </w:r>
      <w:r w:rsidR="00663C2E">
        <w:t xml:space="preserve">Humans can be subject to PJ for any cause of action wherever they are tagged (probably, given Burnham) – but a </w:t>
      </w:r>
      <w:proofErr w:type="spellStart"/>
      <w:r w:rsidR="00663C2E">
        <w:t>a</w:t>
      </w:r>
      <w:proofErr w:type="spellEnd"/>
      <w:r w:rsidR="00663C2E">
        <w:t xml:space="preserve"> </w:t>
      </w:r>
      <w:proofErr w:type="spellStart"/>
      <w:r w:rsidR="00663C2E">
        <w:t>corp</w:t>
      </w:r>
      <w:proofErr w:type="spellEnd"/>
      <w:r w:rsidR="00663C2E">
        <w:t xml:space="preserve"> can be subject to general PJ only where it is “at home”</w:t>
      </w:r>
      <w:r w:rsidR="00B1052A">
        <w:t xml:space="preserve"> under D</w:t>
      </w:r>
      <w:r w:rsidR="00663C2E">
        <w:t>aimler</w:t>
      </w:r>
    </w:p>
    <w:p w14:paraId="3C717BAE" w14:textId="77777777" w:rsidR="005A6C80" w:rsidRDefault="005A6C80"/>
    <w:p w14:paraId="7E1EDDA8" w14:textId="77777777" w:rsidR="00111658" w:rsidRDefault="00111658" w:rsidP="00897BDE">
      <w:pPr>
        <w:pBdr>
          <w:top w:val="single" w:sz="4" w:space="1" w:color="auto"/>
        </w:pBdr>
      </w:pPr>
    </w:p>
    <w:p w14:paraId="54AAB1AE" w14:textId="741F82FB" w:rsidR="00111658" w:rsidRDefault="00111658">
      <w:r w:rsidRPr="00111658">
        <w:t>A, a partner of the part</w:t>
      </w:r>
      <w:r>
        <w:t>nership, A &amp; B, is tagged in CA</w:t>
      </w:r>
      <w:r w:rsidRPr="00111658">
        <w:br/>
        <w:t>PJ in CA</w:t>
      </w:r>
      <w:r w:rsidR="00B1052A">
        <w:t xml:space="preserve"> over partnership</w:t>
      </w:r>
      <w:r w:rsidRPr="00111658">
        <w:t>?</w:t>
      </w:r>
    </w:p>
    <w:p w14:paraId="42164B7C" w14:textId="77777777" w:rsidR="00C51175" w:rsidRDefault="00C51175"/>
    <w:p w14:paraId="62BF23F1" w14:textId="062219D8" w:rsidR="00111658" w:rsidRDefault="00111658">
      <w:r>
        <w:t>Yes. Getting in personam over a partner is enough to get it over the partnership (remember to distinguish from SMJ)</w:t>
      </w:r>
    </w:p>
    <w:p w14:paraId="59D2C6D1" w14:textId="77777777" w:rsidR="00111658" w:rsidRDefault="00111658"/>
    <w:p w14:paraId="6A29C1F3" w14:textId="77777777" w:rsidR="00897BDE" w:rsidRDefault="00897BDE"/>
    <w:p w14:paraId="5F026CE1" w14:textId="77777777" w:rsidR="00897BDE" w:rsidRDefault="00897BDE" w:rsidP="00897BDE">
      <w:pPr>
        <w:pBdr>
          <w:top w:val="single" w:sz="4" w:space="1" w:color="auto"/>
        </w:pBdr>
      </w:pPr>
    </w:p>
    <w:p w14:paraId="654625BE" w14:textId="16325D50" w:rsidR="00111658" w:rsidRDefault="00BE58BA">
      <w:r w:rsidRPr="00BE58BA">
        <w:t>A is domiciled in CT</w:t>
      </w:r>
      <w:r w:rsidRPr="00BE58BA">
        <w:br/>
        <w:t>B is domiciled in NJ</w:t>
      </w:r>
      <w:r w:rsidRPr="00BE58BA">
        <w:br/>
        <w:t>A &amp; B’s offices and al</w:t>
      </w:r>
      <w:r>
        <w:t>l of its work is done out of NY</w:t>
      </w:r>
      <w:r w:rsidRPr="00BE58BA">
        <w:br/>
        <w:t>where is there in personam PJ (setting aside tagging)?</w:t>
      </w:r>
    </w:p>
    <w:p w14:paraId="4F22E5A8" w14:textId="77777777" w:rsidR="00111658" w:rsidRDefault="00111658"/>
    <w:p w14:paraId="253278F1" w14:textId="7099FAFA" w:rsidR="00BE58BA" w:rsidRDefault="005A6C80">
      <w:r>
        <w:t>In CT and NJ. Also, there could possibly be g</w:t>
      </w:r>
      <w:r w:rsidR="00F30978">
        <w:t xml:space="preserve">eneral in personam over partnership in NY if you cite Daimler. (Even though Daimler was over corporations). </w:t>
      </w:r>
      <w:r>
        <w:t>Remember you c</w:t>
      </w:r>
      <w:r w:rsidR="00F30978">
        <w:t xml:space="preserve">an </w:t>
      </w:r>
      <w:r w:rsidR="00B1052A">
        <w:t xml:space="preserve">probably </w:t>
      </w:r>
      <w:r w:rsidR="00F30978">
        <w:t xml:space="preserve">get </w:t>
      </w:r>
      <w:r w:rsidR="00C45AE2">
        <w:t>general in</w:t>
      </w:r>
      <w:r>
        <w:t xml:space="preserve"> personam jurisdiction in the states</w:t>
      </w:r>
      <w:r w:rsidR="00F30978">
        <w:t xml:space="preserve"> where </w:t>
      </w:r>
      <w:r w:rsidR="00B1052A">
        <w:t>un</w:t>
      </w:r>
      <w:r w:rsidR="00F30978">
        <w:t>incorporated associations and partnerships are “at home”</w:t>
      </w:r>
      <w:r w:rsidR="00B1052A">
        <w:t xml:space="preserve"> – </w:t>
      </w:r>
    </w:p>
    <w:p w14:paraId="20C1A9A8" w14:textId="77777777" w:rsidR="00F30978" w:rsidRDefault="00F30978"/>
    <w:p w14:paraId="7B17D943" w14:textId="77777777" w:rsidR="00897BDE" w:rsidRDefault="00897BDE" w:rsidP="00897BDE">
      <w:pPr>
        <w:pBdr>
          <w:top w:val="single" w:sz="4" w:space="1" w:color="auto"/>
        </w:pBdr>
      </w:pPr>
    </w:p>
    <w:p w14:paraId="5CF6E443" w14:textId="77777777" w:rsidR="00897BDE" w:rsidRDefault="00897BDE" w:rsidP="00897BDE">
      <w:pPr>
        <w:pBdr>
          <w:top w:val="single" w:sz="4" w:space="1" w:color="auto"/>
        </w:pBdr>
      </w:pPr>
    </w:p>
    <w:p w14:paraId="176A618A" w14:textId="092D3170" w:rsidR="00F30978" w:rsidRDefault="00F30978">
      <w:r w:rsidRPr="00F30978">
        <w:t>NY makes the appointment of an agent for service of process a condition for doing b</w:t>
      </w:r>
      <w:r>
        <w:t>usiness in NY</w:t>
      </w:r>
      <w:r>
        <w:br/>
        <w:t>can this create g</w:t>
      </w:r>
      <w:r w:rsidRPr="00F30978">
        <w:t>eneral jurisdiction?</w:t>
      </w:r>
    </w:p>
    <w:p w14:paraId="40965B16" w14:textId="77777777" w:rsidR="00F30978" w:rsidRDefault="00F30978"/>
    <w:p w14:paraId="780468F7" w14:textId="579BA6CC" w:rsidR="00F30978" w:rsidRDefault="005A6C80">
      <w:r>
        <w:t>Clarification</w:t>
      </w:r>
      <w:r w:rsidR="00F30978">
        <w:t xml:space="preserve">: The cause of action is unrelated to NY. </w:t>
      </w:r>
      <w:r w:rsidR="00B1052A">
        <w:t xml:space="preserve">Business is a Cal </w:t>
      </w:r>
      <w:proofErr w:type="spellStart"/>
      <w:r w:rsidR="00B1052A">
        <w:t>corp</w:t>
      </w:r>
      <w:proofErr w:type="spellEnd"/>
      <w:r w:rsidR="00B1052A">
        <w:t xml:space="preserve"> with Cal PPB</w:t>
      </w:r>
    </w:p>
    <w:p w14:paraId="4FC34B77" w14:textId="77777777" w:rsidR="00F30978" w:rsidRDefault="00F30978"/>
    <w:p w14:paraId="47C9EFDD" w14:textId="04055247" w:rsidR="00F30978" w:rsidRDefault="00F30978">
      <w:r>
        <w:t>Seems like even though there is consent</w:t>
      </w:r>
      <w:r w:rsidR="005A6C80">
        <w:t>,</w:t>
      </w:r>
      <w:r>
        <w:t xml:space="preserve"> NY is being coercive when usually doing business does not create </w:t>
      </w:r>
      <w:r w:rsidR="00B1052A">
        <w:t xml:space="preserve">general </w:t>
      </w:r>
      <w:r>
        <w:t>PJ</w:t>
      </w:r>
      <w:r w:rsidR="00B1052A">
        <w:t xml:space="preserve"> normally, given Daimler</w:t>
      </w:r>
      <w:r w:rsidR="005A6C80">
        <w:t>.</w:t>
      </w:r>
    </w:p>
    <w:p w14:paraId="35D18668" w14:textId="77777777" w:rsidR="00F30978" w:rsidRDefault="00F30978"/>
    <w:p w14:paraId="5B3226AA" w14:textId="4DE20D99" w:rsidR="00B1052A" w:rsidRDefault="005A6C80">
      <w:r>
        <w:lastRenderedPageBreak/>
        <w:t xml:space="preserve">Answer: </w:t>
      </w:r>
      <w:r w:rsidR="00F30978">
        <w:t xml:space="preserve">This was good under </w:t>
      </w:r>
      <w:proofErr w:type="spellStart"/>
      <w:r w:rsidR="00F30978">
        <w:t>Pennoyer</w:t>
      </w:r>
      <w:proofErr w:type="spellEnd"/>
      <w:r w:rsidR="00F30978">
        <w:t xml:space="preserve"> so do</w:t>
      </w:r>
      <w:r w:rsidR="00B1052A">
        <w:t xml:space="preserve"> the methods mentioned in Burnham, </w:t>
      </w:r>
      <w:proofErr w:type="spellStart"/>
      <w:r w:rsidR="00B1052A">
        <w:t>eg</w:t>
      </w:r>
      <w:proofErr w:type="spellEnd"/>
      <w:r w:rsidR="00F30978">
        <w:t xml:space="preserve"> the Scalia method! </w:t>
      </w:r>
      <w:r w:rsidR="00B34D9E">
        <w:t>Since it was good under Pennoyer</w:t>
      </w:r>
      <w:r>
        <w:t xml:space="preserve"> we</w:t>
      </w:r>
      <w:r w:rsidR="00B34D9E">
        <w:t xml:space="preserve"> must ask is it generally used by states today. </w:t>
      </w:r>
    </w:p>
    <w:p w14:paraId="0B49879A" w14:textId="77777777" w:rsidR="00B34D9E" w:rsidRDefault="00B34D9E"/>
    <w:p w14:paraId="3A1ECA9E" w14:textId="76D84E92" w:rsidR="005A6C80" w:rsidRDefault="005A6C80" w:rsidP="005A6C80">
      <w:r>
        <w:t xml:space="preserve">Note: Plaintiffs don’t like Daimler so they are taking advantage of </w:t>
      </w:r>
      <w:r w:rsidR="00B34D9E">
        <w:t>these statutes</w:t>
      </w:r>
      <w:r>
        <w:t xml:space="preserve"> in some states</w:t>
      </w:r>
      <w:r w:rsidR="00B34D9E">
        <w:t xml:space="preserve">. Should eventually go to the </w:t>
      </w:r>
      <w:proofErr w:type="spellStart"/>
      <w:r w:rsidR="00B34D9E">
        <w:t>S.C</w:t>
      </w:r>
      <w:r w:rsidR="00B1052A">
        <w:t>t</w:t>
      </w:r>
      <w:proofErr w:type="spellEnd"/>
      <w:r w:rsidR="00B34D9E">
        <w:t xml:space="preserve">. </w:t>
      </w:r>
      <w:r>
        <w:t xml:space="preserve">Remember, </w:t>
      </w:r>
      <w:r w:rsidR="00B1052A">
        <w:t xml:space="preserve">absent consent </w:t>
      </w:r>
      <w:r>
        <w:t>usually only general jurisdiction in business’s principal place of business and place of incorporation.</w:t>
      </w:r>
    </w:p>
    <w:p w14:paraId="4FC91820" w14:textId="07FF0BE2" w:rsidR="00B34D9E" w:rsidRDefault="00B34D9E"/>
    <w:p w14:paraId="14DD762B" w14:textId="77777777" w:rsidR="00B34D9E" w:rsidRDefault="00B34D9E"/>
    <w:p w14:paraId="38093F25" w14:textId="77777777" w:rsidR="00B34D9E" w:rsidRDefault="00B34D9E" w:rsidP="00897BDE">
      <w:pPr>
        <w:pBdr>
          <w:top w:val="single" w:sz="4" w:space="1" w:color="auto"/>
        </w:pBdr>
      </w:pPr>
    </w:p>
    <w:p w14:paraId="5C30B46C" w14:textId="77777777" w:rsidR="005A6C80" w:rsidRDefault="005A6C80"/>
    <w:p w14:paraId="55C8522C" w14:textId="3F790EF9" w:rsidR="00B34D9E" w:rsidRPr="00897BDE" w:rsidRDefault="00B34D9E">
      <w:pPr>
        <w:rPr>
          <w:b/>
          <w:i/>
        </w:rPr>
      </w:pPr>
      <w:r w:rsidRPr="00897BDE">
        <w:rPr>
          <w:b/>
          <w:i/>
        </w:rPr>
        <w:t>Waiver/Consent</w:t>
      </w:r>
    </w:p>
    <w:p w14:paraId="3A22D3CB" w14:textId="1EDE0268" w:rsidR="004B2629" w:rsidRDefault="003D134C">
      <w:r>
        <w:t>Consent: Choice of forum clauses in a contract (like hitting okay on internet contracts</w:t>
      </w:r>
      <w:r w:rsidR="00C45AE2">
        <w:t>)</w:t>
      </w:r>
      <w:r w:rsidR="004B2629">
        <w:t xml:space="preserve"> – this is consent to PJ before litigation arises – tends to be enforced</w:t>
      </w:r>
    </w:p>
    <w:p w14:paraId="2B69687F" w14:textId="77777777" w:rsidR="004B2629" w:rsidRDefault="004B2629"/>
    <w:p w14:paraId="1873010E" w14:textId="5A417B81" w:rsidR="004B2629" w:rsidRDefault="004B2629">
      <w:r>
        <w:t>Can also consent to PJH in litigation by waiver - by failing to mention lack of PJ</w:t>
      </w:r>
    </w:p>
    <w:p w14:paraId="010532C3" w14:textId="57279082" w:rsidR="00B34D9E" w:rsidRDefault="004B2629" w:rsidP="004B2629">
      <w:pPr>
        <w:pStyle w:val="ListParagraph"/>
        <w:numPr>
          <w:ilvl w:val="2"/>
          <w:numId w:val="1"/>
        </w:numPr>
      </w:pPr>
      <w:r>
        <w:t xml:space="preserve">Generally lack of PJ </w:t>
      </w:r>
      <w:r w:rsidR="003D134C">
        <w:t xml:space="preserve">be brought up </w:t>
      </w:r>
      <w:r w:rsidR="003D134C" w:rsidRPr="004B2629">
        <w:rPr>
          <w:i/>
        </w:rPr>
        <w:t>immediately</w:t>
      </w:r>
      <w:r w:rsidR="00897BDE">
        <w:t>.</w:t>
      </w:r>
    </w:p>
    <w:p w14:paraId="175FCB46" w14:textId="77777777" w:rsidR="003D134C" w:rsidRDefault="003D134C"/>
    <w:p w14:paraId="510604CF" w14:textId="40DF5CD5" w:rsidR="003D134C" w:rsidRPr="005A6C80" w:rsidRDefault="00897BDE">
      <w:pPr>
        <w:rPr>
          <w:b/>
        </w:rPr>
      </w:pPr>
      <w:r w:rsidRPr="005A6C80">
        <w:rPr>
          <w:b/>
        </w:rPr>
        <w:t>State long</w:t>
      </w:r>
      <w:r w:rsidR="003D134C" w:rsidRPr="005A6C80">
        <w:rPr>
          <w:b/>
        </w:rPr>
        <w:t xml:space="preserve"> arm statutes</w:t>
      </w:r>
    </w:p>
    <w:p w14:paraId="133D4417" w14:textId="3069D231" w:rsidR="005A6C80" w:rsidRDefault="003D134C" w:rsidP="005A6C80">
      <w:pPr>
        <w:pStyle w:val="ListParagraph"/>
        <w:numPr>
          <w:ilvl w:val="0"/>
          <w:numId w:val="12"/>
        </w:numPr>
      </w:pPr>
      <w:r>
        <w:t>Remember</w:t>
      </w:r>
      <w:r w:rsidR="005A6C80">
        <w:t xml:space="preserve"> long arm statutes</w:t>
      </w:r>
      <w:r>
        <w:t>: Cannot go beyond the 14</w:t>
      </w:r>
      <w:r w:rsidRPr="005A6C80">
        <w:rPr>
          <w:vertAlign w:val="superscript"/>
        </w:rPr>
        <w:t>th</w:t>
      </w:r>
      <w:r w:rsidR="005A6C80">
        <w:t xml:space="preserve"> Amend. They </w:t>
      </w:r>
      <w:r>
        <w:t>can be less</w:t>
      </w:r>
      <w:r w:rsidR="005A6C80">
        <w:t xml:space="preserve"> though. In fact, m</w:t>
      </w:r>
      <w:r>
        <w:t>any states do less.</w:t>
      </w:r>
    </w:p>
    <w:p w14:paraId="7218D6EC" w14:textId="6F61E611" w:rsidR="003D134C" w:rsidRDefault="00813BF1" w:rsidP="005A6C80">
      <w:pPr>
        <w:pStyle w:val="ListParagraph"/>
        <w:numPr>
          <w:ilvl w:val="0"/>
          <w:numId w:val="12"/>
        </w:numPr>
      </w:pPr>
      <w:r>
        <w:t xml:space="preserve">California and other states have state </w:t>
      </w:r>
      <w:proofErr w:type="spellStart"/>
      <w:r w:rsidR="004B2629">
        <w:t>longarm</w:t>
      </w:r>
      <w:proofErr w:type="spellEnd"/>
      <w:r w:rsidR="004B2629">
        <w:t xml:space="preserve"> statutes that goes</w:t>
      </w:r>
      <w:r>
        <w:t xml:space="preserve"> up to the limits of the 14</w:t>
      </w:r>
      <w:r w:rsidRPr="005A6C80">
        <w:rPr>
          <w:vertAlign w:val="superscript"/>
        </w:rPr>
        <w:t>th</w:t>
      </w:r>
      <w:r>
        <w:t xml:space="preserve"> Amendment.</w:t>
      </w:r>
    </w:p>
    <w:p w14:paraId="147DBC4F" w14:textId="19C4039A" w:rsidR="00D76CEF" w:rsidRDefault="00813BF1" w:rsidP="00D76CEF">
      <w:pPr>
        <w:pStyle w:val="ListParagraph"/>
        <w:numPr>
          <w:ilvl w:val="0"/>
          <w:numId w:val="12"/>
        </w:numPr>
      </w:pPr>
      <w:r>
        <w:t xml:space="preserve">Illinois style – Take each </w:t>
      </w:r>
      <w:proofErr w:type="spellStart"/>
      <w:r>
        <w:t>S</w:t>
      </w:r>
      <w:r w:rsidR="005A6C80">
        <w:t>.</w:t>
      </w:r>
      <w:r>
        <w:t>C</w:t>
      </w:r>
      <w:r w:rsidR="004B2629">
        <w:t>t</w:t>
      </w:r>
      <w:proofErr w:type="spellEnd"/>
      <w:r w:rsidR="005A6C80">
        <w:t>.</w:t>
      </w:r>
      <w:r>
        <w:t xml:space="preserve"> case and add it</w:t>
      </w:r>
      <w:r w:rsidR="005A6C80">
        <w:t xml:space="preserve"> into their state’s long arm statute. However, this still leaves out a lot of different areas of possible jurisdiction. </w:t>
      </w:r>
    </w:p>
    <w:p w14:paraId="787674F0" w14:textId="579CF5A5" w:rsidR="00813BF1" w:rsidRDefault="005A6C80" w:rsidP="00D76CEF">
      <w:pPr>
        <w:pStyle w:val="ListParagraph"/>
        <w:numPr>
          <w:ilvl w:val="0"/>
          <w:numId w:val="12"/>
        </w:numPr>
      </w:pPr>
      <w:r>
        <w:t xml:space="preserve">Some </w:t>
      </w:r>
      <w:r w:rsidR="004B2629">
        <w:t xml:space="preserve">courts have said about their Illinois-style long arm statute </w:t>
      </w:r>
      <w:proofErr w:type="gramStart"/>
      <w:r w:rsidR="004B2629">
        <w:t>-</w:t>
      </w:r>
      <w:r>
        <w:t xml:space="preserve">  </w:t>
      </w:r>
      <w:r w:rsidR="00813BF1">
        <w:t>“</w:t>
      </w:r>
      <w:proofErr w:type="gramEnd"/>
      <w:r w:rsidR="00813BF1">
        <w:t>Read up to the limit of Due Process</w:t>
      </w:r>
      <w:r w:rsidR="004B2629">
        <w:t>/</w:t>
      </w:r>
      <w:r w:rsidR="00813BF1">
        <w:t>”</w:t>
      </w:r>
      <w:r w:rsidR="004B2629">
        <w:t xml:space="preserve"> This means, read the language</w:t>
      </w:r>
      <w:r>
        <w:t xml:space="preserve"> as generously as possible. But t</w:t>
      </w:r>
      <w:r w:rsidR="00D76CEF">
        <w:t>his still doesn’t mean</w:t>
      </w:r>
      <w:r w:rsidR="004B2629">
        <w:t xml:space="preserve"> the state has a</w:t>
      </w:r>
      <w:r w:rsidR="00D76CEF">
        <w:t xml:space="preserve"> Cal</w:t>
      </w:r>
      <w:r w:rsidR="004B2629">
        <w:t>.</w:t>
      </w:r>
      <w:r w:rsidR="00D76CEF">
        <w:t xml:space="preserve"> version of incorporating everything allowed in the Constitution.</w:t>
      </w:r>
    </w:p>
    <w:p w14:paraId="0A5D6C30" w14:textId="77777777" w:rsidR="003D134C" w:rsidRDefault="003D134C"/>
    <w:p w14:paraId="25CE57A0" w14:textId="77777777" w:rsidR="00F30978" w:rsidRDefault="00F30978"/>
    <w:p w14:paraId="42C20586" w14:textId="53E4F1E4" w:rsidR="00813BF1" w:rsidRPr="00897BDE" w:rsidRDefault="006E7067" w:rsidP="006E7067">
      <w:pPr>
        <w:jc w:val="center"/>
        <w:rPr>
          <w:b/>
          <w:i/>
        </w:rPr>
      </w:pPr>
      <w:r>
        <w:rPr>
          <w:b/>
          <w:i/>
        </w:rPr>
        <w:t xml:space="preserve">Tagging </w:t>
      </w:r>
      <w:r w:rsidR="00897BDE" w:rsidRPr="00897BDE">
        <w:rPr>
          <w:b/>
          <w:i/>
        </w:rPr>
        <w:t>Practice Examples:</w:t>
      </w:r>
    </w:p>
    <w:p w14:paraId="6F23FA67" w14:textId="6099C9B8" w:rsidR="00813BF1" w:rsidRDefault="00813BF1">
      <w:r w:rsidRPr="00813BF1">
        <w:t>P su</w:t>
      </w:r>
      <w:r>
        <w:t>es D in state court in New York</w:t>
      </w:r>
      <w:r>
        <w:br/>
        <w:t>D defaults</w:t>
      </w:r>
      <w:r w:rsidRPr="00813BF1">
        <w:br/>
        <w:t>P sues on the default judgment in state court</w:t>
      </w:r>
      <w:r>
        <w:t xml:space="preserve"> in CA</w:t>
      </w:r>
      <w:r w:rsidRPr="00813BF1">
        <w:br/>
        <w:t>D argues that NY state court did not have PJ under the 14</w:t>
      </w:r>
      <w:r w:rsidRPr="00813BF1">
        <w:rPr>
          <w:vertAlign w:val="superscript"/>
        </w:rPr>
        <w:t>th</w:t>
      </w:r>
      <w:r>
        <w:t xml:space="preserve"> Amendment</w:t>
      </w:r>
      <w:r w:rsidRPr="00813BF1">
        <w:br/>
        <w:t>should D offer any other arguments?</w:t>
      </w:r>
    </w:p>
    <w:p w14:paraId="0806BF21" w14:textId="77777777" w:rsidR="00813BF1" w:rsidRDefault="00813BF1"/>
    <w:p w14:paraId="149B35E4" w14:textId="70E3A249" w:rsidR="00813BF1" w:rsidRDefault="00813BF1">
      <w:r>
        <w:t xml:space="preserve">He should argue </w:t>
      </w:r>
      <w:r w:rsidR="00642F68">
        <w:t>that there was no</w:t>
      </w:r>
      <w:r>
        <w:t xml:space="preserve"> PJ under NY long arm statutes!  </w:t>
      </w:r>
      <w:r w:rsidR="00642F68">
        <w:t xml:space="preserve">Also should say that there is no PJ under NY Constitution. </w:t>
      </w:r>
      <w:r>
        <w:t>NY Constitution and limits on Due Process might be more restrictive than the U.S. Constitution.</w:t>
      </w:r>
    </w:p>
    <w:p w14:paraId="0236FED5" w14:textId="25A5D8F3" w:rsidR="00813BF1" w:rsidRDefault="00813BF1">
      <w:r>
        <w:t>(Sometimes state judges like to make it more restrictive to show their Constitution matters)</w:t>
      </w:r>
    </w:p>
    <w:p w14:paraId="4E32F736" w14:textId="77777777" w:rsidR="00D76CEF" w:rsidRDefault="00D76CEF"/>
    <w:p w14:paraId="468F1095" w14:textId="4D10AF5A" w:rsidR="003B43C6" w:rsidRDefault="00F23A46">
      <w:r>
        <w:t xml:space="preserve">Question arose whether there is PJ for suit on default judgment in Cal. </w:t>
      </w:r>
      <w:r w:rsidR="00D76CEF">
        <w:t>We are a</w:t>
      </w:r>
      <w:r w:rsidR="003B43C6">
        <w:t>ssuming here th</w:t>
      </w:r>
      <w:r w:rsidR="00642F68">
        <w:t>at there is jurisdiction in Cal</w:t>
      </w:r>
      <w:r>
        <w:t xml:space="preserve">. The source of PJ is </w:t>
      </w:r>
      <w:r w:rsidR="00D76CEF">
        <w:t xml:space="preserve">most likely </w:t>
      </w:r>
      <w:r w:rsidR="003B43C6">
        <w:t>property</w:t>
      </w:r>
      <w:r>
        <w:t xml:space="preserve"> of the defendant</w:t>
      </w:r>
      <w:r w:rsidR="00D76CEF">
        <w:t xml:space="preserve"> that the Plaintiff is</w:t>
      </w:r>
      <w:r>
        <w:t xml:space="preserve"> trying to get in Cal</w:t>
      </w:r>
      <w:r w:rsidR="00D76CEF">
        <w:t>.</w:t>
      </w:r>
    </w:p>
    <w:p w14:paraId="317C9BF7" w14:textId="77777777" w:rsidR="00A9240E" w:rsidRDefault="00A9240E"/>
    <w:p w14:paraId="1392F240" w14:textId="77777777" w:rsidR="00D76CEF" w:rsidRDefault="00D76CEF"/>
    <w:p w14:paraId="14781319" w14:textId="4680B2AE" w:rsidR="00A9240E" w:rsidRPr="00D76CEF" w:rsidRDefault="00A9240E">
      <w:pPr>
        <w:rPr>
          <w:b/>
          <w:i/>
        </w:rPr>
      </w:pPr>
      <w:r w:rsidRPr="00D76CEF">
        <w:rPr>
          <w:b/>
          <w:i/>
        </w:rPr>
        <w:t>PJ in Federal Court</w:t>
      </w:r>
    </w:p>
    <w:p w14:paraId="25FBA15F" w14:textId="3F502F20" w:rsidR="00C35810" w:rsidRDefault="00C35810" w:rsidP="006A195F">
      <w:pPr>
        <w:pStyle w:val="ListParagraph"/>
        <w:numPr>
          <w:ilvl w:val="0"/>
          <w:numId w:val="13"/>
        </w:numPr>
      </w:pPr>
      <w:r>
        <w:t>We’ve been saying fed</w:t>
      </w:r>
      <w:r w:rsidR="00D76CEF">
        <w:t>eral</w:t>
      </w:r>
      <w:r>
        <w:t xml:space="preserve"> court has PJ when</w:t>
      </w:r>
      <w:r w:rsidR="00D76CEF">
        <w:t>ever the state court in which it is located has PJ.</w:t>
      </w:r>
      <w:r w:rsidR="00F23A46">
        <w:t xml:space="preserve"> That is because of FRCP 4(k)(1)(A)</w:t>
      </w:r>
    </w:p>
    <w:p w14:paraId="179F99CD" w14:textId="023871A8" w:rsidR="00EA2558" w:rsidRDefault="00F23A46" w:rsidP="006A195F">
      <w:pPr>
        <w:pStyle w:val="ListParagraph"/>
        <w:numPr>
          <w:ilvl w:val="0"/>
          <w:numId w:val="13"/>
        </w:numPr>
      </w:pPr>
      <w:r>
        <w:lastRenderedPageBreak/>
        <w:t xml:space="preserve">As a constitutional matter all that matters in federal court is </w:t>
      </w:r>
      <w:r w:rsidR="00C35810">
        <w:t>5</w:t>
      </w:r>
      <w:r w:rsidR="00C35810" w:rsidRPr="00D76CEF">
        <w:rPr>
          <w:vertAlign w:val="superscript"/>
        </w:rPr>
        <w:t>th</w:t>
      </w:r>
      <w:r w:rsidR="00C35810">
        <w:t xml:space="preserve"> Amendment Due</w:t>
      </w:r>
      <w:r>
        <w:t xml:space="preserve"> Process contacts with US – matters only when you have D who is abroad</w:t>
      </w:r>
      <w:r w:rsidR="00C35810">
        <w:t xml:space="preserve"> </w:t>
      </w:r>
    </w:p>
    <w:p w14:paraId="18CE79B2" w14:textId="61D74067" w:rsidR="00F23A46" w:rsidRDefault="00F23A46" w:rsidP="00F23A46">
      <w:pPr>
        <w:pStyle w:val="ListParagraph"/>
        <w:numPr>
          <w:ilvl w:val="1"/>
          <w:numId w:val="13"/>
        </w:numPr>
      </w:pPr>
      <w:r>
        <w:t>Furthermore, t</w:t>
      </w:r>
      <w:r>
        <w:t>here is a tendency in federal courts to set aside International Shoe and use International Law standards when trying to bring in international defendants.</w:t>
      </w:r>
    </w:p>
    <w:p w14:paraId="72F7DDA1" w14:textId="1403B64A" w:rsidR="00EA2558" w:rsidRDefault="00D76CEF" w:rsidP="006A195F">
      <w:pPr>
        <w:pStyle w:val="ListParagraph"/>
        <w:numPr>
          <w:ilvl w:val="0"/>
          <w:numId w:val="13"/>
        </w:numPr>
      </w:pPr>
      <w:r>
        <w:t>4K</w:t>
      </w:r>
      <w:r w:rsidR="00EA2558">
        <w:t xml:space="preserve">1A exists to keep people from suing in really inconvenient places. </w:t>
      </w:r>
    </w:p>
    <w:p w14:paraId="1CA005B6" w14:textId="2593C235" w:rsidR="00EA2558" w:rsidRDefault="00EA2558" w:rsidP="00D76CEF">
      <w:pPr>
        <w:pStyle w:val="ListParagraph"/>
        <w:numPr>
          <w:ilvl w:val="0"/>
          <w:numId w:val="13"/>
        </w:numPr>
      </w:pPr>
      <w:r>
        <w:t xml:space="preserve">Rule 4K1C – some </w:t>
      </w:r>
      <w:r w:rsidR="00F23A46">
        <w:t xml:space="preserve">federal </w:t>
      </w:r>
      <w:r>
        <w:t>statutes have their own personal jurisdiction provisions that override 4K1A</w:t>
      </w:r>
    </w:p>
    <w:p w14:paraId="44FB7657" w14:textId="77777777" w:rsidR="00EA2558" w:rsidRDefault="00EA2558"/>
    <w:p w14:paraId="23A2B126" w14:textId="6EB8E46C" w:rsidR="00EA2558" w:rsidRPr="00F23A46" w:rsidRDefault="00EA2558">
      <w:pPr>
        <w:rPr>
          <w:b/>
        </w:rPr>
      </w:pPr>
      <w:r w:rsidRPr="006A195F">
        <w:rPr>
          <w:b/>
          <w:i/>
        </w:rPr>
        <w:t xml:space="preserve">A few </w:t>
      </w:r>
      <w:r w:rsidR="006A195F">
        <w:rPr>
          <w:b/>
          <w:i/>
        </w:rPr>
        <w:t>exceptions</w:t>
      </w:r>
      <w:r w:rsidR="00F23A46">
        <w:rPr>
          <w:b/>
          <w:i/>
        </w:rPr>
        <w:t xml:space="preserve"> </w:t>
      </w:r>
      <w:r w:rsidR="00F23A46">
        <w:rPr>
          <w:b/>
        </w:rPr>
        <w:t>to the 4k1A rule</w:t>
      </w:r>
    </w:p>
    <w:p w14:paraId="0E7F8C65" w14:textId="6A54F581" w:rsidR="00EA2558" w:rsidRDefault="006A195F">
      <w:r>
        <w:t xml:space="preserve">-Claim that </w:t>
      </w:r>
      <w:r w:rsidR="00EA2558">
        <w:t xml:space="preserve">arises under federal law </w:t>
      </w:r>
      <w:r>
        <w:t>when</w:t>
      </w:r>
      <w:r w:rsidR="00EA2558">
        <w:t xml:space="preserve"> no state court c</w:t>
      </w:r>
      <w:r>
        <w:t>an have personal jurisdiction. Almost always</w:t>
      </w:r>
      <w:r w:rsidR="00EA2558">
        <w:t xml:space="preserve"> over something that h</w:t>
      </w:r>
      <w:r>
        <w:t>appened abroad, BUT the United S</w:t>
      </w:r>
      <w:r w:rsidR="00EA2558">
        <w:t>tates has personal jurisdiction.</w:t>
      </w:r>
    </w:p>
    <w:p w14:paraId="2A1CD12A" w14:textId="77777777" w:rsidR="006A195F" w:rsidRDefault="006A195F"/>
    <w:p w14:paraId="2ABCC662" w14:textId="3B2C4405" w:rsidR="00EA2558" w:rsidRDefault="00EA2558">
      <w:r>
        <w:t>More expansive reading of the 5</w:t>
      </w:r>
      <w:r w:rsidRPr="00EA2558">
        <w:rPr>
          <w:vertAlign w:val="superscript"/>
        </w:rPr>
        <w:t>th</w:t>
      </w:r>
      <w:r>
        <w:t xml:space="preserve"> amendment than the 14</w:t>
      </w:r>
      <w:r w:rsidRPr="00EA2558">
        <w:rPr>
          <w:vertAlign w:val="superscript"/>
        </w:rPr>
        <w:t>th</w:t>
      </w:r>
      <w:r>
        <w:t xml:space="preserve"> amendment of “contacts”</w:t>
      </w:r>
      <w:r w:rsidR="006A195F">
        <w:t xml:space="preserve"> </w:t>
      </w:r>
      <w:r>
        <w:t>Could have connections to US but not a specific state</w:t>
      </w:r>
      <w:r w:rsidR="006A195F">
        <w:t>.</w:t>
      </w:r>
    </w:p>
    <w:p w14:paraId="2713733F" w14:textId="77777777" w:rsidR="00EA2558" w:rsidRDefault="00EA2558"/>
    <w:p w14:paraId="163397B9" w14:textId="5911044D" w:rsidR="00EA2558" w:rsidRDefault="00EA2558">
      <w:r w:rsidRPr="00EA2558">
        <w:t>P (Va.) brings suit in federal court in Virginia against D, a German domiciliary residing in Germany, for a battery that the German committed against him in New York</w:t>
      </w:r>
      <w:r w:rsidRPr="00EA2558">
        <w:br/>
        <w:t>- D has no other contacts with the United States besides the brief trip to NY during which the alleged battery occurred</w:t>
      </w:r>
      <w:r w:rsidRPr="00EA2558">
        <w:br/>
        <w:t>- D is served in Germany</w:t>
      </w:r>
      <w:r w:rsidRPr="00EA2558">
        <w:br/>
        <w:t>Is there PJ?</w:t>
      </w:r>
    </w:p>
    <w:p w14:paraId="101209CF" w14:textId="77777777" w:rsidR="00EA2558" w:rsidRDefault="00EA2558"/>
    <w:p w14:paraId="1F0F0E03" w14:textId="56EB9EDF" w:rsidR="00EA2558" w:rsidRDefault="00EA2558">
      <w:r>
        <w:t>Will 4K1A work here? No! No connections under any theory to VA</w:t>
      </w:r>
    </w:p>
    <w:p w14:paraId="1F994B54" w14:textId="555D0535" w:rsidR="00EA2558" w:rsidRDefault="00EA2558">
      <w:r>
        <w:t xml:space="preserve">Could 4K2? No! Not </w:t>
      </w:r>
      <w:r w:rsidR="006A195F">
        <w:t xml:space="preserve">under federal law AND there IS </w:t>
      </w:r>
      <w:r>
        <w:t>PJ in NY</w:t>
      </w:r>
    </w:p>
    <w:p w14:paraId="283AA42F" w14:textId="77777777" w:rsidR="00EA2558" w:rsidRDefault="00EA2558"/>
    <w:p w14:paraId="1084802E" w14:textId="08FE025A" w:rsidR="00EA2558" w:rsidRDefault="00EA2558">
      <w:r w:rsidRPr="00EA2558">
        <w:t>Saudi terrorist is sued under a federal antiterrorism act allowing for American victims of forei</w:t>
      </w:r>
      <w:r>
        <w:t>gn terrorism to sue for damages</w:t>
      </w:r>
      <w:r w:rsidRPr="00EA2558">
        <w:br/>
        <w:t>- the alleged acts of terrorism in thi</w:t>
      </w:r>
      <w:r w:rsidR="00252CD8">
        <w:t>s case occurred in Saudi Arabia</w:t>
      </w:r>
      <w:r w:rsidRPr="00EA2558">
        <w:br/>
        <w:t>- the action is brought in federal court in New York. Is there PJ?</w:t>
      </w:r>
    </w:p>
    <w:p w14:paraId="13ACDA11" w14:textId="77777777" w:rsidR="00252CD8" w:rsidRDefault="00252CD8"/>
    <w:p w14:paraId="5E37E1EE" w14:textId="006052D0" w:rsidR="00EA2558" w:rsidRDefault="00EA2558">
      <w:r>
        <w:t>This is an example where 4K2 might be used. Hard to find a story where a state would have PJ.</w:t>
      </w:r>
      <w:bookmarkStart w:id="0" w:name="_GoBack"/>
      <w:bookmarkEnd w:id="0"/>
    </w:p>
    <w:sectPr w:rsidR="00EA2558" w:rsidSect="00D32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789"/>
    <w:multiLevelType w:val="hybridMultilevel"/>
    <w:tmpl w:val="B1D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4A8"/>
    <w:multiLevelType w:val="hybridMultilevel"/>
    <w:tmpl w:val="FB72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4C23AC">
      <w:numFmt w:val="bullet"/>
      <w:lvlText w:val="-"/>
      <w:lvlJc w:val="left"/>
      <w:pPr>
        <w:ind w:left="234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69A"/>
    <w:multiLevelType w:val="hybridMultilevel"/>
    <w:tmpl w:val="8F88E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C2DEE"/>
    <w:multiLevelType w:val="hybridMultilevel"/>
    <w:tmpl w:val="0EF4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3A6E"/>
    <w:multiLevelType w:val="hybridMultilevel"/>
    <w:tmpl w:val="505AE948"/>
    <w:lvl w:ilvl="0" w:tplc="FEBE8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A7D"/>
    <w:multiLevelType w:val="hybridMultilevel"/>
    <w:tmpl w:val="A632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633"/>
    <w:multiLevelType w:val="hybridMultilevel"/>
    <w:tmpl w:val="F556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366"/>
    <w:multiLevelType w:val="hybridMultilevel"/>
    <w:tmpl w:val="17F8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32570"/>
    <w:multiLevelType w:val="hybridMultilevel"/>
    <w:tmpl w:val="FBEE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E30F3"/>
    <w:multiLevelType w:val="hybridMultilevel"/>
    <w:tmpl w:val="38A4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25D7"/>
    <w:multiLevelType w:val="hybridMultilevel"/>
    <w:tmpl w:val="D1D2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C3739"/>
    <w:multiLevelType w:val="hybridMultilevel"/>
    <w:tmpl w:val="579A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D709F"/>
    <w:multiLevelType w:val="hybridMultilevel"/>
    <w:tmpl w:val="A8B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89"/>
    <w:rsid w:val="00111658"/>
    <w:rsid w:val="00165DE5"/>
    <w:rsid w:val="001B729F"/>
    <w:rsid w:val="001E0C7A"/>
    <w:rsid w:val="001F539C"/>
    <w:rsid w:val="00252CD8"/>
    <w:rsid w:val="002D3B0E"/>
    <w:rsid w:val="00327AC9"/>
    <w:rsid w:val="00352F94"/>
    <w:rsid w:val="003B43C6"/>
    <w:rsid w:val="003D134C"/>
    <w:rsid w:val="004B2629"/>
    <w:rsid w:val="004B6226"/>
    <w:rsid w:val="00525055"/>
    <w:rsid w:val="005301F1"/>
    <w:rsid w:val="00534FD1"/>
    <w:rsid w:val="00567F2F"/>
    <w:rsid w:val="005A6C80"/>
    <w:rsid w:val="005D30A0"/>
    <w:rsid w:val="005D7C27"/>
    <w:rsid w:val="00642F68"/>
    <w:rsid w:val="00661365"/>
    <w:rsid w:val="00663C2E"/>
    <w:rsid w:val="0069292F"/>
    <w:rsid w:val="006A195F"/>
    <w:rsid w:val="006E570E"/>
    <w:rsid w:val="006E7067"/>
    <w:rsid w:val="007774D8"/>
    <w:rsid w:val="00805F35"/>
    <w:rsid w:val="00813BF1"/>
    <w:rsid w:val="00897BDE"/>
    <w:rsid w:val="008D28EE"/>
    <w:rsid w:val="008E7873"/>
    <w:rsid w:val="00915CCE"/>
    <w:rsid w:val="009C7700"/>
    <w:rsid w:val="009E51C7"/>
    <w:rsid w:val="00A25A91"/>
    <w:rsid w:val="00A6350D"/>
    <w:rsid w:val="00A9240E"/>
    <w:rsid w:val="00AD2EA9"/>
    <w:rsid w:val="00B1052A"/>
    <w:rsid w:val="00B34D9E"/>
    <w:rsid w:val="00B8091C"/>
    <w:rsid w:val="00B80CE6"/>
    <w:rsid w:val="00BE58BA"/>
    <w:rsid w:val="00C35810"/>
    <w:rsid w:val="00C45AE2"/>
    <w:rsid w:val="00C51175"/>
    <w:rsid w:val="00C617EC"/>
    <w:rsid w:val="00CD5FB8"/>
    <w:rsid w:val="00D32989"/>
    <w:rsid w:val="00D76CEF"/>
    <w:rsid w:val="00DB2409"/>
    <w:rsid w:val="00E3243F"/>
    <w:rsid w:val="00EA2558"/>
    <w:rsid w:val="00EC070B"/>
    <w:rsid w:val="00F11878"/>
    <w:rsid w:val="00F23A46"/>
    <w:rsid w:val="00F30978"/>
    <w:rsid w:val="00F65E44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3D824"/>
  <w14:defaultImageDpi w14:val="300"/>
  <w15:docId w15:val="{1F598132-6778-4E96-A1AC-11F63E46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36765-134A-4B46-B834-BC56A83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Gross</dc:creator>
  <cp:keywords/>
  <dc:description/>
  <cp:lastModifiedBy>Green, Michael S</cp:lastModifiedBy>
  <cp:revision>10</cp:revision>
  <dcterms:created xsi:type="dcterms:W3CDTF">2017-09-27T13:51:00Z</dcterms:created>
  <dcterms:modified xsi:type="dcterms:W3CDTF">2017-09-27T14:26:00Z</dcterms:modified>
</cp:coreProperties>
</file>