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F1" w:rsidRPr="001D7598" w:rsidRDefault="001D7598" w:rsidP="001D7598">
      <w:pPr>
        <w:rPr>
          <w:lang w:val="en-CA"/>
        </w:rPr>
      </w:pPr>
      <w:proofErr w:type="spellStart"/>
      <w:r>
        <w:rPr>
          <w:lang w:val="en-CA"/>
        </w:rPr>
        <w:t>Lect</w:t>
      </w:r>
      <w:proofErr w:type="spellEnd"/>
      <w:r>
        <w:rPr>
          <w:lang w:val="en-CA"/>
        </w:rPr>
        <w:t xml:space="preserve"> 20</w:t>
      </w:r>
    </w:p>
    <w:p w:rsidR="00A439F1" w:rsidRDefault="00A439F1" w:rsidP="00A439F1"/>
    <w:p w:rsidR="00A439F1" w:rsidRPr="00490FF7" w:rsidRDefault="00A439F1" w:rsidP="00A439F1">
      <w:pPr>
        <w:rPr>
          <w:lang w:val="en-CA"/>
        </w:rPr>
      </w:pPr>
      <w:r w:rsidRPr="00490FF7">
        <w:rPr>
          <w:bCs/>
          <w:lang w:val="en-CA"/>
        </w:rPr>
        <w:t xml:space="preserve">Shaffer v. </w:t>
      </w:r>
      <w:proofErr w:type="spellStart"/>
      <w:r w:rsidRPr="00490FF7">
        <w:rPr>
          <w:bCs/>
          <w:lang w:val="en-CA"/>
        </w:rPr>
        <w:t>Heitner</w:t>
      </w:r>
      <w:proofErr w:type="spellEnd"/>
    </w:p>
    <w:p w:rsidR="00A439F1" w:rsidRPr="00490FF7" w:rsidRDefault="00A439F1" w:rsidP="00A439F1">
      <w:pPr>
        <w:rPr>
          <w:lang w:val="en-CA"/>
        </w:rPr>
      </w:pPr>
      <w:r w:rsidRPr="00490FF7">
        <w:rPr>
          <w:lang w:val="en-CA"/>
        </w:rPr>
        <w:t>1977</w:t>
      </w:r>
    </w:p>
    <w:p w:rsidR="00A439F1" w:rsidRDefault="002132D9" w:rsidP="00A439F1">
      <w:pPr>
        <w:rPr>
          <w:lang w:val="en-CA"/>
        </w:rPr>
      </w:pPr>
      <w:proofErr w:type="spellStart"/>
      <w:r>
        <w:rPr>
          <w:lang w:val="en-CA"/>
        </w:rPr>
        <w:t>S</w:t>
      </w:r>
      <w:r w:rsidR="00A439F1" w:rsidRPr="00490FF7">
        <w:rPr>
          <w:lang w:val="en-CA"/>
        </w:rPr>
        <w:t>Ct</w:t>
      </w:r>
      <w:proofErr w:type="spellEnd"/>
      <w:r w:rsidR="00A439F1" w:rsidRPr="00490FF7">
        <w:rPr>
          <w:lang w:val="en-CA"/>
        </w:rPr>
        <w:t xml:space="preserve"> argues that quasi in rem actions should be examined from the Int’l Shoe perspective</w:t>
      </w:r>
    </w:p>
    <w:p w:rsidR="002132D9" w:rsidRDefault="002132D9" w:rsidP="002132D9">
      <w:pPr>
        <w:pStyle w:val="ListParagraph"/>
        <w:numPr>
          <w:ilvl w:val="0"/>
          <w:numId w:val="9"/>
        </w:numPr>
        <w:rPr>
          <w:lang w:val="en-CA"/>
        </w:rPr>
      </w:pPr>
      <w:r>
        <w:rPr>
          <w:lang w:val="en-CA"/>
        </w:rPr>
        <w:t>Quasi in rem is difficult to justify under International Shoe, because the contact with the forum state (the property) is unrelated to the cause of action.</w:t>
      </w:r>
    </w:p>
    <w:p w:rsidR="002132D9" w:rsidRDefault="002132D9" w:rsidP="002132D9">
      <w:pPr>
        <w:pStyle w:val="ListParagraph"/>
        <w:numPr>
          <w:ilvl w:val="0"/>
          <w:numId w:val="9"/>
        </w:numPr>
        <w:rPr>
          <w:lang w:val="en-CA"/>
        </w:rPr>
      </w:pPr>
      <w:r>
        <w:rPr>
          <w:lang w:val="en-CA"/>
        </w:rPr>
        <w:t>To argue that the contact is sufficient to allow the defendant to be sued on any cause of action, one would apparently have to argue that the contact is substantial and continuous under Int’l Shoe</w:t>
      </w:r>
    </w:p>
    <w:p w:rsidR="002132D9" w:rsidRDefault="002132D9" w:rsidP="002132D9">
      <w:pPr>
        <w:pStyle w:val="ListParagraph"/>
        <w:numPr>
          <w:ilvl w:val="0"/>
          <w:numId w:val="9"/>
        </w:numPr>
        <w:rPr>
          <w:lang w:val="en-CA"/>
        </w:rPr>
      </w:pPr>
      <w:r>
        <w:rPr>
          <w:lang w:val="en-CA"/>
        </w:rPr>
        <w:t>But it is hard to see how that is so</w:t>
      </w:r>
    </w:p>
    <w:p w:rsidR="002132D9" w:rsidRDefault="002132D9" w:rsidP="002132D9">
      <w:pPr>
        <w:pStyle w:val="ListParagraph"/>
        <w:numPr>
          <w:ilvl w:val="0"/>
          <w:numId w:val="9"/>
        </w:numPr>
        <w:rPr>
          <w:lang w:val="en-CA"/>
        </w:rPr>
      </w:pPr>
      <w:r>
        <w:rPr>
          <w:lang w:val="en-CA"/>
        </w:rPr>
        <w:t>For example, in Daim</w:t>
      </w:r>
      <w:r w:rsidR="002A1838">
        <w:rPr>
          <w:lang w:val="en-CA"/>
        </w:rPr>
        <w:t>ler,</w:t>
      </w:r>
      <w:r>
        <w:rPr>
          <w:lang w:val="en-CA"/>
        </w:rPr>
        <w:t xml:space="preserve"> Mercedes Benz USA owned property in California and the </w:t>
      </w:r>
      <w:proofErr w:type="spellStart"/>
      <w:r>
        <w:rPr>
          <w:lang w:val="en-CA"/>
        </w:rPr>
        <w:t>SCt</w:t>
      </w:r>
      <w:proofErr w:type="spellEnd"/>
      <w:r>
        <w:rPr>
          <w:lang w:val="en-CA"/>
        </w:rPr>
        <w:t xml:space="preserve"> presumed (for the purpose of argument) that MBUSA’s contacts with California could be imputed to Daimler.  So that means that, in effect, Daimler owned property in California.  And yet it did not follow that Daimler could be sued on any cause of action in California.</w:t>
      </w:r>
    </w:p>
    <w:p w:rsidR="002132D9" w:rsidRDefault="002132D9" w:rsidP="002132D9">
      <w:pPr>
        <w:pStyle w:val="ListParagraph"/>
        <w:numPr>
          <w:ilvl w:val="0"/>
          <w:numId w:val="9"/>
        </w:numPr>
        <w:rPr>
          <w:lang w:val="en-CA"/>
        </w:rPr>
      </w:pPr>
      <w:r>
        <w:rPr>
          <w:lang w:val="en-CA"/>
        </w:rPr>
        <w:t>But perhaps it makes a difference that in a quasi in rem action the quantum of adjudicative power that the forum state possesses is limited by the value of the property?</w:t>
      </w:r>
    </w:p>
    <w:p w:rsidR="002132D9" w:rsidRDefault="002132D9" w:rsidP="002132D9">
      <w:pPr>
        <w:pStyle w:val="ListParagraph"/>
        <w:numPr>
          <w:ilvl w:val="1"/>
          <w:numId w:val="9"/>
        </w:numPr>
        <w:rPr>
          <w:lang w:val="en-CA"/>
        </w:rPr>
      </w:pPr>
      <w:r>
        <w:rPr>
          <w:lang w:val="en-CA"/>
        </w:rPr>
        <w:t xml:space="preserve">In general in </w:t>
      </w:r>
      <w:proofErr w:type="spellStart"/>
      <w:r>
        <w:rPr>
          <w:lang w:val="en-CA"/>
        </w:rPr>
        <w:t>personam</w:t>
      </w:r>
      <w:proofErr w:type="spellEnd"/>
      <w:r>
        <w:rPr>
          <w:lang w:val="en-CA"/>
        </w:rPr>
        <w:t xml:space="preserve"> jurisdiction, the defendant can be sued on any amount</w:t>
      </w:r>
    </w:p>
    <w:p w:rsidR="002132D9" w:rsidRDefault="002132D9" w:rsidP="002132D9">
      <w:pPr>
        <w:pStyle w:val="ListParagraph"/>
        <w:numPr>
          <w:ilvl w:val="1"/>
          <w:numId w:val="9"/>
        </w:numPr>
        <w:rPr>
          <w:lang w:val="en-CA"/>
        </w:rPr>
      </w:pPr>
      <w:r>
        <w:rPr>
          <w:lang w:val="en-CA"/>
        </w:rPr>
        <w:t>Quasi in rem is limited by the property</w:t>
      </w:r>
    </w:p>
    <w:p w:rsidR="002132D9" w:rsidRPr="002132D9" w:rsidRDefault="002132D9" w:rsidP="002132D9">
      <w:pPr>
        <w:pStyle w:val="ListParagraph"/>
        <w:numPr>
          <w:ilvl w:val="1"/>
          <w:numId w:val="9"/>
        </w:numPr>
        <w:rPr>
          <w:lang w:val="en-CA"/>
        </w:rPr>
      </w:pPr>
      <w:r>
        <w:rPr>
          <w:lang w:val="en-CA"/>
        </w:rPr>
        <w:t>Maybe that makes it more compatible with international shoe?</w:t>
      </w:r>
    </w:p>
    <w:p w:rsidR="00A439F1" w:rsidRPr="00490FF7" w:rsidRDefault="00A439F1" w:rsidP="00A439F1">
      <w:pPr>
        <w:rPr>
          <w:lang w:val="en-CA"/>
        </w:rPr>
      </w:pPr>
    </w:p>
    <w:p w:rsidR="00A439F1" w:rsidRPr="00490FF7" w:rsidRDefault="00A439F1" w:rsidP="002A1838">
      <w:pPr>
        <w:spacing w:after="0" w:line="240" w:lineRule="auto"/>
        <w:rPr>
          <w:lang w:val="en-CA"/>
        </w:rPr>
      </w:pPr>
      <w:r w:rsidRPr="00490FF7">
        <w:rPr>
          <w:lang w:val="en-CA"/>
        </w:rPr>
        <w:t xml:space="preserve">How far does </w:t>
      </w:r>
      <w:r w:rsidR="002A1838">
        <w:rPr>
          <w:lang w:val="en-CA"/>
        </w:rPr>
        <w:t>Shaffer</w:t>
      </w:r>
      <w:r w:rsidRPr="00490FF7">
        <w:rPr>
          <w:lang w:val="en-CA"/>
        </w:rPr>
        <w:t xml:space="preserve"> go?</w:t>
      </w:r>
    </w:p>
    <w:p w:rsidR="00A439F1" w:rsidRDefault="00A439F1" w:rsidP="00A439F1">
      <w:pPr>
        <w:rPr>
          <w:lang w:val="en-CA"/>
        </w:rPr>
      </w:pPr>
    </w:p>
    <w:p w:rsidR="002132D9" w:rsidRDefault="002132D9" w:rsidP="002132D9">
      <w:pPr>
        <w:pStyle w:val="ListParagraph"/>
        <w:numPr>
          <w:ilvl w:val="0"/>
          <w:numId w:val="1"/>
        </w:numPr>
        <w:rPr>
          <w:lang w:val="en-CA"/>
        </w:rPr>
      </w:pPr>
      <w:r>
        <w:rPr>
          <w:lang w:val="en-CA"/>
        </w:rPr>
        <w:t>The property at issue in Shaffer was not unambiguously within the state of Delaware</w:t>
      </w:r>
    </w:p>
    <w:p w:rsidR="002132D9" w:rsidRPr="002132D9" w:rsidRDefault="002132D9" w:rsidP="002132D9">
      <w:pPr>
        <w:pStyle w:val="ListParagraph"/>
        <w:numPr>
          <w:ilvl w:val="0"/>
          <w:numId w:val="1"/>
        </w:numPr>
        <w:rPr>
          <w:lang w:val="en-CA"/>
        </w:rPr>
      </w:pPr>
      <w:r>
        <w:rPr>
          <w:lang w:val="en-CA"/>
        </w:rPr>
        <w:t>What about</w:t>
      </w:r>
      <w:r w:rsidR="00E62068">
        <w:rPr>
          <w:lang w:val="en-CA"/>
        </w:rPr>
        <w:t xml:space="preserve"> more </w:t>
      </w:r>
      <w:r w:rsidR="002A1838">
        <w:rPr>
          <w:lang w:val="en-CA"/>
        </w:rPr>
        <w:t xml:space="preserve">common </w:t>
      </w:r>
      <w:r w:rsidR="00E62068">
        <w:rPr>
          <w:lang w:val="en-CA"/>
        </w:rPr>
        <w:t xml:space="preserve">cases of quasi in rem, for example when the property used </w:t>
      </w:r>
      <w:r w:rsidR="002A1838">
        <w:rPr>
          <w:lang w:val="en-CA"/>
        </w:rPr>
        <w:t>is</w:t>
      </w:r>
      <w:r w:rsidR="00E62068">
        <w:rPr>
          <w:lang w:val="en-CA"/>
        </w:rPr>
        <w:t xml:space="preserve"> real property (land, houses) or a bank account</w:t>
      </w:r>
      <w:r w:rsidR="002A1838">
        <w:rPr>
          <w:lang w:val="en-CA"/>
        </w:rPr>
        <w:t>?</w:t>
      </w:r>
    </w:p>
    <w:p w:rsidR="00A439F1" w:rsidRPr="00490FF7" w:rsidRDefault="00A439F1" w:rsidP="00A439F1">
      <w:pPr>
        <w:numPr>
          <w:ilvl w:val="0"/>
          <w:numId w:val="1"/>
        </w:numPr>
        <w:autoSpaceDE w:val="0"/>
        <w:autoSpaceDN w:val="0"/>
        <w:adjustRightInd w:val="0"/>
        <w:spacing w:after="0" w:line="240" w:lineRule="auto"/>
        <w:rPr>
          <w:lang w:val="en-CA"/>
        </w:rPr>
      </w:pPr>
      <w:r w:rsidRPr="00490FF7">
        <w:rPr>
          <w:lang w:val="en-CA"/>
        </w:rPr>
        <w:t>Powell’s arg.</w:t>
      </w:r>
    </w:p>
    <w:p w:rsidR="00A439F1" w:rsidRPr="00490FF7" w:rsidRDefault="00A439F1" w:rsidP="00A439F1">
      <w:pPr>
        <w:autoSpaceDE w:val="0"/>
        <w:autoSpaceDN w:val="0"/>
        <w:adjustRightInd w:val="0"/>
        <w:rPr>
          <w:lang w:val="en-CA"/>
        </w:rPr>
      </w:pPr>
    </w:p>
    <w:p w:rsidR="00A439F1" w:rsidRPr="00490FF7" w:rsidRDefault="00A439F1" w:rsidP="00A439F1">
      <w:pPr>
        <w:numPr>
          <w:ilvl w:val="0"/>
          <w:numId w:val="1"/>
        </w:numPr>
        <w:autoSpaceDE w:val="0"/>
        <w:autoSpaceDN w:val="0"/>
        <w:adjustRightInd w:val="0"/>
        <w:spacing w:after="0" w:line="240" w:lineRule="auto"/>
      </w:pPr>
      <w:r w:rsidRPr="00490FF7">
        <w:rPr>
          <w:bCs/>
        </w:rPr>
        <w:t xml:space="preserve">I would explicitly reserve judgment . . . on whether the ownership of some forms of property whose </w:t>
      </w:r>
      <w:proofErr w:type="spellStart"/>
      <w:r w:rsidRPr="00490FF7">
        <w:rPr>
          <w:bCs/>
        </w:rPr>
        <w:t>situs</w:t>
      </w:r>
      <w:proofErr w:type="spellEnd"/>
      <w:r w:rsidRPr="00490FF7">
        <w:rPr>
          <w:bCs/>
        </w:rPr>
        <w:t xml:space="preserve"> is indisputably and permanently located within a State may, without more, provide the contacts necessary to subject a defendant to jurisdiction within the State to the extent of the value of the property.  In the case of real property, in particular, preservation of the common law concept of quasi in rem jurisdiction arguably would avoid the uncertainty of the general International Shoe standard without significant cost to “traditional notions of fair play and substantial justice.</w:t>
      </w:r>
      <w:r w:rsidRPr="00490FF7">
        <w:rPr>
          <w:bCs/>
        </w:rPr>
        <w:br/>
        <w:t xml:space="preserve">Shaffer v. </w:t>
      </w:r>
      <w:proofErr w:type="spellStart"/>
      <w:r w:rsidRPr="00490FF7">
        <w:rPr>
          <w:bCs/>
        </w:rPr>
        <w:t>Heitner</w:t>
      </w:r>
      <w:proofErr w:type="spellEnd"/>
      <w:r w:rsidR="00E62068">
        <w:rPr>
          <w:bCs/>
        </w:rPr>
        <w:t xml:space="preserve"> </w:t>
      </w:r>
      <w:r w:rsidRPr="00490FF7">
        <w:rPr>
          <w:bCs/>
        </w:rPr>
        <w:t xml:space="preserve"> (Powell, J. concurring)</w:t>
      </w:r>
    </w:p>
    <w:p w:rsidR="00A439F1" w:rsidRDefault="00A439F1" w:rsidP="00A439F1">
      <w:pPr>
        <w:rPr>
          <w:lang w:val="en-CA"/>
        </w:rPr>
      </w:pPr>
    </w:p>
    <w:p w:rsidR="00E62068" w:rsidRDefault="00E62068" w:rsidP="00A439F1">
      <w:pPr>
        <w:rPr>
          <w:lang w:val="en-CA"/>
        </w:rPr>
      </w:pPr>
      <w:r>
        <w:rPr>
          <w:lang w:val="en-CA"/>
        </w:rPr>
        <w:t>Stevens suggest the same thing</w:t>
      </w:r>
    </w:p>
    <w:p w:rsidR="00E62068" w:rsidRDefault="00E62068" w:rsidP="00A439F1">
      <w:pPr>
        <w:numPr>
          <w:ilvl w:val="0"/>
          <w:numId w:val="1"/>
        </w:numPr>
        <w:autoSpaceDE w:val="0"/>
        <w:autoSpaceDN w:val="0"/>
        <w:adjustRightInd w:val="0"/>
        <w:spacing w:after="0" w:line="240" w:lineRule="auto"/>
        <w:rPr>
          <w:lang w:val="en-CA"/>
        </w:rPr>
      </w:pPr>
      <w:r>
        <w:rPr>
          <w:lang w:val="en-CA"/>
        </w:rPr>
        <w:t>How might one make an exception for real property and bank accounts</w:t>
      </w:r>
    </w:p>
    <w:p w:rsidR="00A439F1" w:rsidRDefault="00E62068" w:rsidP="00A439F1">
      <w:pPr>
        <w:pStyle w:val="ListParagraph"/>
        <w:numPr>
          <w:ilvl w:val="0"/>
          <w:numId w:val="1"/>
        </w:numPr>
        <w:rPr>
          <w:lang w:val="en-CA"/>
        </w:rPr>
      </w:pPr>
      <w:r>
        <w:rPr>
          <w:lang w:val="en-CA"/>
        </w:rPr>
        <w:t xml:space="preserve">Could one say that in those cases one could reasonably anticipate being subject to personal jurisdiction as a result of owning land </w:t>
      </w:r>
      <w:r w:rsidR="002A1838">
        <w:rPr>
          <w:lang w:val="en-CA"/>
        </w:rPr>
        <w:t xml:space="preserve">or having </w:t>
      </w:r>
      <w:r>
        <w:rPr>
          <w:lang w:val="en-CA"/>
        </w:rPr>
        <w:t>the bank account in the state?</w:t>
      </w:r>
    </w:p>
    <w:p w:rsidR="00E62068" w:rsidRDefault="00E62068" w:rsidP="00A439F1">
      <w:pPr>
        <w:pStyle w:val="ListParagraph"/>
        <w:numPr>
          <w:ilvl w:val="0"/>
          <w:numId w:val="1"/>
        </w:numPr>
        <w:rPr>
          <w:lang w:val="en-CA"/>
        </w:rPr>
      </w:pPr>
      <w:r>
        <w:rPr>
          <w:lang w:val="en-CA"/>
        </w:rPr>
        <w:t>Notice the difference between this argument and the Int’l Shoe quid pro quo theory</w:t>
      </w:r>
    </w:p>
    <w:p w:rsidR="00E62068" w:rsidRDefault="00E62068" w:rsidP="00E62068">
      <w:pPr>
        <w:pStyle w:val="ListParagraph"/>
        <w:numPr>
          <w:ilvl w:val="1"/>
          <w:numId w:val="1"/>
        </w:numPr>
        <w:rPr>
          <w:lang w:val="en-CA"/>
        </w:rPr>
      </w:pPr>
      <w:proofErr w:type="gramStart"/>
      <w:r>
        <w:rPr>
          <w:lang w:val="en-CA"/>
        </w:rPr>
        <w:t>under</w:t>
      </w:r>
      <w:proofErr w:type="gramEnd"/>
      <w:r>
        <w:rPr>
          <w:lang w:val="en-CA"/>
        </w:rPr>
        <w:t xml:space="preserve"> Int’l Sh.  there has to be an appropriate relationship between the level of benefit one is getting from the forum state and the forum state’s personal jurisdictional power</w:t>
      </w:r>
    </w:p>
    <w:p w:rsidR="00E62068" w:rsidRDefault="00E62068" w:rsidP="00E62068">
      <w:pPr>
        <w:pStyle w:val="ListParagraph"/>
        <w:numPr>
          <w:ilvl w:val="1"/>
          <w:numId w:val="1"/>
        </w:numPr>
        <w:rPr>
          <w:lang w:val="en-CA"/>
        </w:rPr>
      </w:pPr>
      <w:r>
        <w:rPr>
          <w:lang w:val="en-CA"/>
        </w:rPr>
        <w:t>The personal jurisdictional power has to be a fair price for the benefits</w:t>
      </w:r>
    </w:p>
    <w:p w:rsidR="00E62068" w:rsidRDefault="00E62068" w:rsidP="00E62068">
      <w:pPr>
        <w:pStyle w:val="ListParagraph"/>
        <w:numPr>
          <w:ilvl w:val="1"/>
          <w:numId w:val="1"/>
        </w:numPr>
        <w:rPr>
          <w:lang w:val="en-CA"/>
        </w:rPr>
      </w:pPr>
      <w:r>
        <w:rPr>
          <w:lang w:val="en-CA"/>
        </w:rPr>
        <w:t>Under this new theory it doesn’t matter whether the personal jurisdictional power is appropriate given the benefits one gets from the forum state</w:t>
      </w:r>
    </w:p>
    <w:p w:rsidR="00E62068" w:rsidRDefault="00E62068" w:rsidP="00E62068">
      <w:pPr>
        <w:pStyle w:val="ListParagraph"/>
        <w:numPr>
          <w:ilvl w:val="1"/>
          <w:numId w:val="1"/>
        </w:numPr>
        <w:rPr>
          <w:lang w:val="en-CA"/>
        </w:rPr>
      </w:pPr>
      <w:r>
        <w:rPr>
          <w:lang w:val="en-CA"/>
        </w:rPr>
        <w:t>All that matters is whether one is on notice that one will be subject to the personal jurisdictional power by willingly establishing the contact with the forum state</w:t>
      </w:r>
    </w:p>
    <w:p w:rsidR="00E62068" w:rsidRDefault="00E62068" w:rsidP="00E62068">
      <w:pPr>
        <w:pStyle w:val="ListParagraph"/>
        <w:numPr>
          <w:ilvl w:val="1"/>
          <w:numId w:val="1"/>
        </w:numPr>
        <w:rPr>
          <w:lang w:val="en-CA"/>
        </w:rPr>
      </w:pPr>
      <w:r>
        <w:rPr>
          <w:lang w:val="en-CA"/>
        </w:rPr>
        <w:t>Quasi in rem jurisdiction may be a very high price to pay for owning real property in the forum state, but at least one is on notice that that is the price</w:t>
      </w:r>
    </w:p>
    <w:p w:rsidR="002A1838" w:rsidRPr="00E62068" w:rsidRDefault="002A1838" w:rsidP="00E62068">
      <w:pPr>
        <w:pStyle w:val="ListParagraph"/>
        <w:numPr>
          <w:ilvl w:val="1"/>
          <w:numId w:val="1"/>
        </w:numPr>
        <w:rPr>
          <w:lang w:val="en-CA"/>
        </w:rPr>
      </w:pPr>
      <w:r>
        <w:rPr>
          <w:lang w:val="en-CA"/>
        </w:rPr>
        <w:t>in Shaffer there was no notice however, because of how unusual the forum of quasi in rem was</w:t>
      </w:r>
    </w:p>
    <w:p w:rsidR="00E62068" w:rsidRDefault="00E62068" w:rsidP="00A439F1">
      <w:pPr>
        <w:rPr>
          <w:lang w:val="en-CA"/>
        </w:rPr>
      </w:pPr>
    </w:p>
    <w:p w:rsidR="00E62068" w:rsidRPr="00490FF7" w:rsidRDefault="00E62068" w:rsidP="00A439F1">
      <w:pPr>
        <w:rPr>
          <w:lang w:val="en-CA"/>
        </w:rPr>
      </w:pPr>
      <w:r>
        <w:rPr>
          <w:lang w:val="en-CA"/>
        </w:rPr>
        <w:t xml:space="preserve">Could one argue that </w:t>
      </w:r>
      <w:r w:rsidR="002A1838">
        <w:rPr>
          <w:lang w:val="en-CA"/>
        </w:rPr>
        <w:t>there is</w:t>
      </w:r>
      <w:r>
        <w:rPr>
          <w:lang w:val="en-CA"/>
        </w:rPr>
        <w:t xml:space="preserve"> specific personal jurisdiction in Delaware?  In other words, if one sets aside the shares, could one argue that the defendants reached out in other ways to the state of Delaware and that these contacts with the state are related to the cause of action?</w:t>
      </w:r>
    </w:p>
    <w:p w:rsidR="00E62068" w:rsidRDefault="00A439F1" w:rsidP="00E62068">
      <w:pPr>
        <w:rPr>
          <w:lang w:val="en-CA"/>
        </w:rPr>
      </w:pPr>
      <w:r w:rsidRPr="00490FF7">
        <w:rPr>
          <w:lang w:val="en-CA"/>
        </w:rPr>
        <w:tab/>
        <w:t xml:space="preserve">- </w:t>
      </w:r>
      <w:proofErr w:type="gramStart"/>
      <w:r w:rsidRPr="00490FF7">
        <w:rPr>
          <w:lang w:val="en-CA"/>
        </w:rPr>
        <w:t>no</w:t>
      </w:r>
      <w:proofErr w:type="gramEnd"/>
      <w:r w:rsidRPr="00490FF7">
        <w:rPr>
          <w:lang w:val="en-CA"/>
        </w:rPr>
        <w:t xml:space="preserve"> evid</w:t>
      </w:r>
      <w:r w:rsidR="00E62068">
        <w:rPr>
          <w:lang w:val="en-CA"/>
        </w:rPr>
        <w:t>ence</w:t>
      </w:r>
      <w:r w:rsidRPr="00490FF7">
        <w:rPr>
          <w:lang w:val="en-CA"/>
        </w:rPr>
        <w:t xml:space="preserve"> </w:t>
      </w:r>
      <w:r w:rsidR="00E62068">
        <w:rPr>
          <w:lang w:val="en-CA"/>
        </w:rPr>
        <w:t>the defendants ever set foot in Delaware, or send any piece of paper to the state</w:t>
      </w:r>
    </w:p>
    <w:p w:rsidR="00E62068" w:rsidRDefault="00E62068" w:rsidP="00E62068">
      <w:pPr>
        <w:rPr>
          <w:lang w:val="en-CA"/>
        </w:rPr>
      </w:pPr>
      <w:r>
        <w:rPr>
          <w:lang w:val="en-CA"/>
        </w:rPr>
        <w:t xml:space="preserve">- </w:t>
      </w:r>
      <w:proofErr w:type="gramStart"/>
      <w:r>
        <w:rPr>
          <w:lang w:val="en-CA"/>
        </w:rPr>
        <w:t>but</w:t>
      </w:r>
      <w:proofErr w:type="gramEnd"/>
      <w:r>
        <w:rPr>
          <w:lang w:val="en-CA"/>
        </w:rPr>
        <w:t xml:space="preserve"> they willingly established a relationship with a Delaware corporation</w:t>
      </w:r>
    </w:p>
    <w:p w:rsidR="00E62068" w:rsidRDefault="00E62068" w:rsidP="00E62068">
      <w:pPr>
        <w:rPr>
          <w:lang w:val="en-CA"/>
        </w:rPr>
      </w:pPr>
      <w:r>
        <w:rPr>
          <w:lang w:val="en-CA"/>
        </w:rPr>
        <w:t xml:space="preserve">- </w:t>
      </w:r>
      <w:proofErr w:type="gramStart"/>
      <w:r w:rsidR="00A3307C">
        <w:rPr>
          <w:lang w:val="en-CA"/>
        </w:rPr>
        <w:t>it</w:t>
      </w:r>
      <w:proofErr w:type="gramEnd"/>
      <w:r w:rsidR="00A3307C">
        <w:rPr>
          <w:lang w:val="en-CA"/>
        </w:rPr>
        <w:t xml:space="preserve"> is only due to the state of Delaware that they have a job at all, and the cause of action is related to that job</w:t>
      </w:r>
    </w:p>
    <w:p w:rsidR="00A3307C" w:rsidRPr="00490FF7" w:rsidRDefault="00A3307C" w:rsidP="00E62068">
      <w:pPr>
        <w:rPr>
          <w:lang w:val="en-CA"/>
        </w:rPr>
      </w:pPr>
      <w:r>
        <w:rPr>
          <w:lang w:val="en-CA"/>
        </w:rPr>
        <w:t xml:space="preserve">- </w:t>
      </w:r>
      <w:proofErr w:type="gramStart"/>
      <w:r>
        <w:rPr>
          <w:lang w:val="en-CA"/>
        </w:rPr>
        <w:t>furthermore</w:t>
      </w:r>
      <w:proofErr w:type="gramEnd"/>
      <w:r>
        <w:rPr>
          <w:lang w:val="en-CA"/>
        </w:rPr>
        <w:t xml:space="preserve"> Delaware law protects the defendants – if the corporation breached its duty to them the defendants might be able to sue the corporation under Delaware law</w:t>
      </w:r>
    </w:p>
    <w:p w:rsidR="00A439F1" w:rsidRDefault="00A3307C" w:rsidP="00A3307C">
      <w:pPr>
        <w:rPr>
          <w:lang w:val="en-CA"/>
        </w:rPr>
      </w:pPr>
      <w:r>
        <w:rPr>
          <w:lang w:val="en-CA"/>
        </w:rPr>
        <w:t>- Brennan thinks this is enough for personal jurisdiction</w:t>
      </w:r>
    </w:p>
    <w:p w:rsidR="00A3307C" w:rsidRDefault="00A3307C" w:rsidP="00A3307C">
      <w:pPr>
        <w:rPr>
          <w:lang w:val="en-CA"/>
        </w:rPr>
      </w:pPr>
      <w:r>
        <w:rPr>
          <w:lang w:val="en-CA"/>
        </w:rPr>
        <w:t xml:space="preserve">- Green thinks that the fact that the </w:t>
      </w:r>
      <w:proofErr w:type="spellStart"/>
      <w:r>
        <w:rPr>
          <w:lang w:val="en-CA"/>
        </w:rPr>
        <w:t>SCt</w:t>
      </w:r>
      <w:proofErr w:type="spellEnd"/>
      <w:r>
        <w:rPr>
          <w:lang w:val="en-CA"/>
        </w:rPr>
        <w:t xml:space="preserve"> didn’t find specific in </w:t>
      </w:r>
      <w:proofErr w:type="spellStart"/>
      <w:r>
        <w:rPr>
          <w:lang w:val="en-CA"/>
        </w:rPr>
        <w:t>personam</w:t>
      </w:r>
      <w:proofErr w:type="spellEnd"/>
      <w:r>
        <w:rPr>
          <w:lang w:val="en-CA"/>
        </w:rPr>
        <w:t xml:space="preserve"> jurisdiction is a result of </w:t>
      </w:r>
      <w:r w:rsidR="006A7148">
        <w:rPr>
          <w:lang w:val="en-CA"/>
        </w:rPr>
        <w:t xml:space="preserve">the </w:t>
      </w:r>
      <w:proofErr w:type="spellStart"/>
      <w:r w:rsidR="006A7148">
        <w:rPr>
          <w:lang w:val="en-CA"/>
        </w:rPr>
        <w:t>SCt’s</w:t>
      </w:r>
      <w:proofErr w:type="spellEnd"/>
      <w:r>
        <w:rPr>
          <w:lang w:val="en-CA"/>
        </w:rPr>
        <w:t xml:space="preserve"> fetishizing physical contact with the forum state</w:t>
      </w:r>
    </w:p>
    <w:p w:rsidR="00A3307C" w:rsidRPr="00490FF7" w:rsidRDefault="00A3307C" w:rsidP="00A3307C">
      <w:pPr>
        <w:rPr>
          <w:lang w:val="en-CA"/>
        </w:rPr>
      </w:pPr>
    </w:p>
    <w:p w:rsidR="00A439F1" w:rsidRDefault="00A3307C" w:rsidP="00A3307C">
      <w:pPr>
        <w:autoSpaceDE w:val="0"/>
        <w:autoSpaceDN w:val="0"/>
        <w:adjustRightInd w:val="0"/>
        <w:spacing w:after="0" w:line="240" w:lineRule="auto"/>
        <w:ind w:left="630"/>
        <w:rPr>
          <w:lang w:val="en-CA"/>
        </w:rPr>
      </w:pPr>
      <w:r>
        <w:rPr>
          <w:lang w:val="en-CA"/>
        </w:rPr>
        <w:lastRenderedPageBreak/>
        <w:t>McGee factors also argue in favor personal jurisdiction</w:t>
      </w:r>
      <w:r w:rsidR="006A7148">
        <w:rPr>
          <w:lang w:val="en-CA"/>
        </w:rPr>
        <w:t xml:space="preserve"> in Shaffer</w:t>
      </w:r>
    </w:p>
    <w:p w:rsidR="00A3307C" w:rsidRPr="00490FF7" w:rsidRDefault="00A3307C" w:rsidP="00A3307C">
      <w:pPr>
        <w:autoSpaceDE w:val="0"/>
        <w:autoSpaceDN w:val="0"/>
        <w:adjustRightInd w:val="0"/>
        <w:spacing w:after="0" w:line="240" w:lineRule="auto"/>
        <w:ind w:left="630"/>
        <w:rPr>
          <w:lang w:val="en-CA"/>
        </w:rPr>
      </w:pPr>
    </w:p>
    <w:p w:rsidR="00A439F1" w:rsidRDefault="00A439F1" w:rsidP="00A439F1">
      <w:pPr>
        <w:rPr>
          <w:lang w:val="en-CA"/>
        </w:rPr>
      </w:pPr>
      <w:r w:rsidRPr="00490FF7">
        <w:rPr>
          <w:lang w:val="en-CA"/>
        </w:rPr>
        <w:t xml:space="preserve">- </w:t>
      </w:r>
      <w:proofErr w:type="gramStart"/>
      <w:r w:rsidRPr="00490FF7">
        <w:rPr>
          <w:lang w:val="en-CA"/>
        </w:rPr>
        <w:t>strong</w:t>
      </w:r>
      <w:proofErr w:type="gramEnd"/>
      <w:r w:rsidRPr="00490FF7">
        <w:rPr>
          <w:lang w:val="en-CA"/>
        </w:rPr>
        <w:t xml:space="preserve"> interest by Del in supervising management of a Del corp</w:t>
      </w:r>
      <w:r w:rsidR="00A3307C">
        <w:rPr>
          <w:lang w:val="en-CA"/>
        </w:rPr>
        <w:t>oration</w:t>
      </w:r>
    </w:p>
    <w:p w:rsidR="00A3307C" w:rsidRPr="00490FF7" w:rsidRDefault="00A3307C" w:rsidP="00A439F1">
      <w:pPr>
        <w:rPr>
          <w:lang w:val="en-CA"/>
        </w:rPr>
      </w:pPr>
      <w:r>
        <w:rPr>
          <w:lang w:val="en-CA"/>
        </w:rPr>
        <w:t xml:space="preserve">- </w:t>
      </w:r>
      <w:proofErr w:type="gramStart"/>
      <w:r>
        <w:rPr>
          <w:lang w:val="en-CA"/>
        </w:rPr>
        <w:t>the</w:t>
      </w:r>
      <w:proofErr w:type="gramEnd"/>
      <w:r>
        <w:rPr>
          <w:lang w:val="en-CA"/>
        </w:rPr>
        <w:t xml:space="preserve"> plaintiff’s action against the defendants is under Delaware law</w:t>
      </w:r>
    </w:p>
    <w:p w:rsidR="00A3307C" w:rsidRDefault="00A3307C" w:rsidP="00A3307C">
      <w:pPr>
        <w:autoSpaceDE w:val="0"/>
        <w:autoSpaceDN w:val="0"/>
        <w:adjustRightInd w:val="0"/>
        <w:spacing w:after="0" w:line="240" w:lineRule="auto"/>
        <w:ind w:left="630"/>
        <w:rPr>
          <w:lang w:val="en-CA"/>
        </w:rPr>
      </w:pPr>
      <w:r>
        <w:rPr>
          <w:lang w:val="en-CA"/>
        </w:rPr>
        <w:t xml:space="preserve">- </w:t>
      </w:r>
      <w:proofErr w:type="gramStart"/>
      <w:r>
        <w:rPr>
          <w:lang w:val="en-CA"/>
        </w:rPr>
        <w:t>one</w:t>
      </w:r>
      <w:proofErr w:type="gramEnd"/>
      <w:r>
        <w:rPr>
          <w:lang w:val="en-CA"/>
        </w:rPr>
        <w:t xml:space="preserve"> needs a forum where all if the officers and directors can be brought together as defendants</w:t>
      </w:r>
    </w:p>
    <w:p w:rsidR="00A3307C" w:rsidRDefault="00A3307C" w:rsidP="00A3307C">
      <w:pPr>
        <w:autoSpaceDE w:val="0"/>
        <w:autoSpaceDN w:val="0"/>
        <w:adjustRightInd w:val="0"/>
        <w:spacing w:after="0" w:line="240" w:lineRule="auto"/>
        <w:ind w:left="630"/>
        <w:rPr>
          <w:lang w:val="en-CA"/>
        </w:rPr>
      </w:pPr>
    </w:p>
    <w:p w:rsidR="00A3307C" w:rsidRDefault="00A3307C" w:rsidP="00A3307C">
      <w:pPr>
        <w:autoSpaceDE w:val="0"/>
        <w:autoSpaceDN w:val="0"/>
        <w:adjustRightInd w:val="0"/>
        <w:spacing w:after="0" w:line="240" w:lineRule="auto"/>
        <w:ind w:left="630"/>
        <w:rPr>
          <w:lang w:val="en-CA"/>
        </w:rPr>
      </w:pPr>
      <w:proofErr w:type="gramStart"/>
      <w:r>
        <w:rPr>
          <w:lang w:val="en-CA"/>
        </w:rPr>
        <w:t>what</w:t>
      </w:r>
      <w:proofErr w:type="gramEnd"/>
      <w:r>
        <w:rPr>
          <w:lang w:val="en-CA"/>
        </w:rPr>
        <w:t xml:space="preserve"> about this argu</w:t>
      </w:r>
      <w:r w:rsidR="006A7148">
        <w:rPr>
          <w:lang w:val="en-CA"/>
        </w:rPr>
        <w:t>ment by Marshall?</w:t>
      </w:r>
    </w:p>
    <w:p w:rsidR="00A3307C" w:rsidRDefault="00A3307C" w:rsidP="00A3307C">
      <w:pPr>
        <w:autoSpaceDE w:val="0"/>
        <w:autoSpaceDN w:val="0"/>
        <w:adjustRightInd w:val="0"/>
        <w:spacing w:after="0" w:line="240" w:lineRule="auto"/>
        <w:ind w:left="630"/>
        <w:rPr>
          <w:lang w:val="en-CA"/>
        </w:rPr>
      </w:pPr>
      <w:r>
        <w:rPr>
          <w:lang w:val="en-CA"/>
        </w:rPr>
        <w:t>[T</w:t>
      </w:r>
      <w:r w:rsidRPr="00A3307C">
        <w:rPr>
          <w:lang w:val="en-CA"/>
        </w:rPr>
        <w:t xml:space="preserve">]he strong interest of Delaware in supervising the management of a Delaware corporation]…is said to derive from the role of Delaware law in establishing the corporation and defining the obligations owed to it by its officers and directors. In order to protect this interest, </w:t>
      </w:r>
      <w:proofErr w:type="spellStart"/>
      <w:r w:rsidRPr="00A3307C">
        <w:rPr>
          <w:lang w:val="en-CA"/>
        </w:rPr>
        <w:t>appellee</w:t>
      </w:r>
      <w:proofErr w:type="spellEnd"/>
      <w:r w:rsidRPr="00A3307C">
        <w:rPr>
          <w:lang w:val="en-CA"/>
        </w:rPr>
        <w:t xml:space="preserve"> concludes, Delaware's courts must have jurisdiction over corporate fiduciaries such as appellants.</w:t>
      </w:r>
    </w:p>
    <w:p w:rsidR="00A3307C" w:rsidRDefault="00A3307C" w:rsidP="00A3307C">
      <w:pPr>
        <w:autoSpaceDE w:val="0"/>
        <w:autoSpaceDN w:val="0"/>
        <w:adjustRightInd w:val="0"/>
        <w:spacing w:after="0" w:line="240" w:lineRule="auto"/>
        <w:ind w:left="630"/>
        <w:rPr>
          <w:lang w:val="en-CA"/>
        </w:rPr>
      </w:pPr>
      <w:r w:rsidRPr="00A3307C">
        <w:rPr>
          <w:lang w:val="en-CA"/>
        </w:rPr>
        <w:t xml:space="preserve">This argument is undercut by the failure of the Delaware Legislature to assert the state interest </w:t>
      </w:r>
      <w:proofErr w:type="spellStart"/>
      <w:r w:rsidRPr="00A3307C">
        <w:rPr>
          <w:lang w:val="en-CA"/>
        </w:rPr>
        <w:t>appellee</w:t>
      </w:r>
      <w:proofErr w:type="spellEnd"/>
      <w:r w:rsidRPr="00A3307C">
        <w:rPr>
          <w:lang w:val="en-CA"/>
        </w:rPr>
        <w:t xml:space="preserve"> finds so compelling. Delaware law bases jurisdiction not on appellants' status as corporate fiduciaries, but rather on the presence of their property in the State. Although the sequestration procedure used here may be most frequently used in derivative suits against officers and directors, the authorizing statute evinces no specific concern with such actions.</w:t>
      </w:r>
    </w:p>
    <w:p w:rsidR="00A3307C" w:rsidRDefault="00A3307C" w:rsidP="00A3307C">
      <w:pPr>
        <w:autoSpaceDE w:val="0"/>
        <w:autoSpaceDN w:val="0"/>
        <w:adjustRightInd w:val="0"/>
        <w:spacing w:after="0" w:line="240" w:lineRule="auto"/>
        <w:ind w:left="630"/>
        <w:rPr>
          <w:lang w:val="en-CA"/>
        </w:rPr>
      </w:pPr>
    </w:p>
    <w:p w:rsidR="00A3307C" w:rsidRDefault="00A3307C" w:rsidP="00A3307C">
      <w:pPr>
        <w:autoSpaceDE w:val="0"/>
        <w:autoSpaceDN w:val="0"/>
        <w:adjustRightInd w:val="0"/>
        <w:spacing w:after="0" w:line="240" w:lineRule="auto"/>
        <w:rPr>
          <w:lang w:val="en-CA"/>
        </w:rPr>
      </w:pPr>
      <w:r>
        <w:rPr>
          <w:lang w:val="en-CA"/>
        </w:rPr>
        <w:t xml:space="preserve">Green: perhaps the Delaware legislature didn’t pass a statute directed at officers and directors, because the statute that allowed for quasi in rem actions on the </w:t>
      </w:r>
      <w:r w:rsidR="006A7148">
        <w:rPr>
          <w:lang w:val="en-CA"/>
        </w:rPr>
        <w:t>basis</w:t>
      </w:r>
      <w:r>
        <w:rPr>
          <w:lang w:val="en-CA"/>
        </w:rPr>
        <w:t xml:space="preserve"> of shares in Delaware corporations worked well enough to generate personal jurisdiction over officers and directors of Delaware corporations</w:t>
      </w:r>
    </w:p>
    <w:p w:rsidR="00A3307C" w:rsidRDefault="00A3307C" w:rsidP="00A3307C">
      <w:pPr>
        <w:pStyle w:val="ListParagraph"/>
        <w:numPr>
          <w:ilvl w:val="0"/>
          <w:numId w:val="1"/>
        </w:numPr>
        <w:autoSpaceDE w:val="0"/>
        <w:autoSpaceDN w:val="0"/>
        <w:adjustRightInd w:val="0"/>
        <w:spacing w:after="0" w:line="240" w:lineRule="auto"/>
        <w:rPr>
          <w:lang w:val="en-CA"/>
        </w:rPr>
      </w:pPr>
      <w:r>
        <w:rPr>
          <w:lang w:val="en-CA"/>
        </w:rPr>
        <w:t>Such officers and directors usually had shares in their own corporation</w:t>
      </w:r>
    </w:p>
    <w:p w:rsidR="00A3307C" w:rsidRDefault="00A3307C" w:rsidP="00A3307C">
      <w:pPr>
        <w:pStyle w:val="ListParagraph"/>
        <w:numPr>
          <w:ilvl w:val="0"/>
          <w:numId w:val="1"/>
        </w:numPr>
        <w:autoSpaceDE w:val="0"/>
        <w:autoSpaceDN w:val="0"/>
        <w:adjustRightInd w:val="0"/>
        <w:spacing w:after="0" w:line="240" w:lineRule="auto"/>
        <w:rPr>
          <w:lang w:val="en-CA"/>
        </w:rPr>
      </w:pPr>
      <w:r>
        <w:rPr>
          <w:lang w:val="en-CA"/>
        </w:rPr>
        <w:t xml:space="preserve">In any event, why is the </w:t>
      </w:r>
      <w:proofErr w:type="spellStart"/>
      <w:r>
        <w:rPr>
          <w:lang w:val="en-CA"/>
        </w:rPr>
        <w:t>SCt</w:t>
      </w:r>
      <w:proofErr w:type="spellEnd"/>
      <w:r>
        <w:rPr>
          <w:lang w:val="en-CA"/>
        </w:rPr>
        <w:t xml:space="preserve"> telling Delaware courts what </w:t>
      </w:r>
      <w:proofErr w:type="spellStart"/>
      <w:r>
        <w:rPr>
          <w:lang w:val="en-CA"/>
        </w:rPr>
        <w:t>Del’s</w:t>
      </w:r>
      <w:proofErr w:type="spellEnd"/>
      <w:r>
        <w:rPr>
          <w:lang w:val="en-CA"/>
        </w:rPr>
        <w:t xml:space="preserve"> interests are?</w:t>
      </w:r>
    </w:p>
    <w:p w:rsidR="00A3307C" w:rsidRPr="00A3307C" w:rsidRDefault="00A3307C" w:rsidP="00A3307C">
      <w:pPr>
        <w:pStyle w:val="ListParagraph"/>
        <w:numPr>
          <w:ilvl w:val="0"/>
          <w:numId w:val="1"/>
        </w:numPr>
        <w:autoSpaceDE w:val="0"/>
        <w:autoSpaceDN w:val="0"/>
        <w:adjustRightInd w:val="0"/>
        <w:spacing w:after="0" w:line="240" w:lineRule="auto"/>
        <w:rPr>
          <w:lang w:val="en-CA"/>
        </w:rPr>
      </w:pPr>
      <w:r>
        <w:rPr>
          <w:lang w:val="en-CA"/>
        </w:rPr>
        <w:t xml:space="preserve">Isn’t that a matter for Delaware officials to decide?  </w:t>
      </w:r>
    </w:p>
    <w:p w:rsidR="00A3307C" w:rsidRDefault="00A3307C" w:rsidP="00A3307C">
      <w:pPr>
        <w:autoSpaceDE w:val="0"/>
        <w:autoSpaceDN w:val="0"/>
        <w:adjustRightInd w:val="0"/>
        <w:spacing w:after="0" w:line="240" w:lineRule="auto"/>
        <w:ind w:left="630"/>
        <w:rPr>
          <w:lang w:val="en-CA"/>
        </w:rPr>
      </w:pPr>
    </w:p>
    <w:p w:rsidR="00A439F1" w:rsidRPr="00490FF7" w:rsidRDefault="00A3307C" w:rsidP="00A439F1">
      <w:pPr>
        <w:rPr>
          <w:lang w:val="en-CA"/>
        </w:rPr>
      </w:pPr>
      <w:r>
        <w:rPr>
          <w:lang w:val="en-CA"/>
        </w:rPr>
        <w:t>- notice that after Shaffer the Delaware legislature passes a statute under which those who become officers and directors of Delaware corporations</w:t>
      </w:r>
      <w:r w:rsidR="006A7148">
        <w:rPr>
          <w:lang w:val="en-CA"/>
        </w:rPr>
        <w:t xml:space="preserve"> consented </w:t>
      </w:r>
      <w:r>
        <w:rPr>
          <w:lang w:val="en-CA"/>
        </w:rPr>
        <w:t>to an agent for service of process</w:t>
      </w:r>
      <w:r w:rsidR="006A7148">
        <w:rPr>
          <w:lang w:val="en-CA"/>
        </w:rPr>
        <w:t xml:space="preserve"> within the state…</w:t>
      </w:r>
    </w:p>
    <w:p w:rsidR="001D7598" w:rsidRDefault="00A439F1" w:rsidP="001D7598">
      <w:pPr>
        <w:rPr>
          <w:lang w:val="en-CA"/>
        </w:rPr>
      </w:pPr>
      <w:r w:rsidRPr="00490FF7">
        <w:rPr>
          <w:lang w:val="en-CA"/>
        </w:rPr>
        <w:tab/>
      </w:r>
      <w:r w:rsidR="006A7148">
        <w:rPr>
          <w:lang w:val="en-CA"/>
        </w:rPr>
        <w:t xml:space="preserve">So the </w:t>
      </w:r>
      <w:proofErr w:type="spellStart"/>
      <w:r w:rsidR="006A7148">
        <w:rPr>
          <w:lang w:val="en-CA"/>
        </w:rPr>
        <w:t>SCt</w:t>
      </w:r>
      <w:proofErr w:type="spellEnd"/>
      <w:r w:rsidR="006A7148">
        <w:rPr>
          <w:lang w:val="en-CA"/>
        </w:rPr>
        <w:t xml:space="preserve"> was wrong about </w:t>
      </w:r>
      <w:proofErr w:type="spellStart"/>
      <w:r w:rsidR="006A7148">
        <w:rPr>
          <w:lang w:val="en-CA"/>
        </w:rPr>
        <w:t>Del’s</w:t>
      </w:r>
      <w:proofErr w:type="spellEnd"/>
      <w:r w:rsidR="006A7148">
        <w:rPr>
          <w:lang w:val="en-CA"/>
        </w:rPr>
        <w:t xml:space="preserve"> interests after all</w:t>
      </w:r>
    </w:p>
    <w:p w:rsidR="006A7148" w:rsidRDefault="006A7148" w:rsidP="001D7598">
      <w:pPr>
        <w:rPr>
          <w:b/>
        </w:rPr>
      </w:pPr>
    </w:p>
    <w:p w:rsidR="006A7148" w:rsidRDefault="006A7148" w:rsidP="001D7598">
      <w:pPr>
        <w:rPr>
          <w:b/>
        </w:rPr>
      </w:pPr>
      <w:r>
        <w:rPr>
          <w:b/>
        </w:rPr>
        <w:t>What about in rem actions?</w:t>
      </w:r>
    </w:p>
    <w:p w:rsidR="006A7148" w:rsidRDefault="006A7148" w:rsidP="001D7598">
      <w:pPr>
        <w:rPr>
          <w:b/>
        </w:rPr>
      </w:pPr>
    </w:p>
    <w:p w:rsidR="006A7148" w:rsidRPr="006A7148" w:rsidRDefault="006A7148" w:rsidP="001D7598">
      <w:r w:rsidRPr="006A7148">
        <w:rPr>
          <w:lang w:val="en-CA"/>
        </w:rPr>
        <w:t>P brings a quiet title action concerning CA land in CA state court intended to bind the world</w:t>
      </w:r>
      <w:r w:rsidRPr="006A7148">
        <w:br/>
      </w:r>
      <w:r w:rsidRPr="006A7148">
        <w:br/>
      </w:r>
      <w:proofErr w:type="gramStart"/>
      <w:r w:rsidRPr="006A7148">
        <w:t>Any</w:t>
      </w:r>
      <w:proofErr w:type="gramEnd"/>
      <w:r w:rsidRPr="006A7148">
        <w:t xml:space="preserve"> problem with this in rem action given Shaffer?</w:t>
      </w:r>
    </w:p>
    <w:p w:rsidR="006A7148" w:rsidRDefault="006A7148" w:rsidP="001D7598">
      <w:r w:rsidRPr="006A7148">
        <w:t xml:space="preserve">No </w:t>
      </w:r>
      <w:r>
        <w:t>– assume someone out of state is adversely affected by the CA judgment</w:t>
      </w:r>
    </w:p>
    <w:p w:rsidR="006A7148" w:rsidRDefault="006A7148" w:rsidP="006A7148">
      <w:pPr>
        <w:pStyle w:val="ListParagraph"/>
        <w:numPr>
          <w:ilvl w:val="0"/>
          <w:numId w:val="1"/>
        </w:numPr>
      </w:pPr>
      <w:proofErr w:type="gramStart"/>
      <w:r>
        <w:t>that</w:t>
      </w:r>
      <w:proofErr w:type="gramEnd"/>
      <w:r>
        <w:t xml:space="preserve"> means they are claiming an interest in CA property</w:t>
      </w:r>
      <w:r>
        <w:br/>
        <w:t>furthermore, the action  concerns that very contact...</w:t>
      </w:r>
    </w:p>
    <w:p w:rsidR="006A7148" w:rsidRDefault="006A7148" w:rsidP="006A7148">
      <w:pPr>
        <w:pStyle w:val="ListParagraph"/>
        <w:numPr>
          <w:ilvl w:val="0"/>
          <w:numId w:val="1"/>
        </w:numPr>
      </w:pPr>
      <w:r>
        <w:t>so Int’l Shoe is satisfied</w:t>
      </w:r>
    </w:p>
    <w:p w:rsidR="006A7148" w:rsidRDefault="006A7148" w:rsidP="006A7148">
      <w:r w:rsidRPr="006A7148">
        <w:rPr>
          <w:lang w:val="en-CA"/>
        </w:rPr>
        <w:lastRenderedPageBreak/>
        <w:t>P brings a quiet title action concerning shares in a Del. corporation current held by an Arizonan in Del. state court intended to bind the world</w:t>
      </w:r>
      <w:r w:rsidRPr="006A7148">
        <w:rPr>
          <w:lang w:val="en-CA"/>
        </w:rPr>
        <w:br/>
      </w:r>
      <w:r w:rsidRPr="006A7148">
        <w:rPr>
          <w:lang w:val="en-CA"/>
        </w:rPr>
        <w:br/>
      </w:r>
      <w:proofErr w:type="gramStart"/>
      <w:r w:rsidRPr="006A7148">
        <w:t>Any</w:t>
      </w:r>
      <w:proofErr w:type="gramEnd"/>
      <w:r w:rsidRPr="006A7148">
        <w:t xml:space="preserve"> problem with this in rem action given Shaffer?</w:t>
      </w:r>
    </w:p>
    <w:p w:rsidR="006A7148" w:rsidRDefault="006A7148" w:rsidP="006A7148">
      <w:pPr>
        <w:pStyle w:val="ListParagraph"/>
        <w:numPr>
          <w:ilvl w:val="0"/>
          <w:numId w:val="1"/>
        </w:numPr>
      </w:pPr>
      <w:r>
        <w:t>Shares are insufficient as a source of quasi in rem PJ</w:t>
      </w:r>
    </w:p>
    <w:p w:rsidR="006A7148" w:rsidRDefault="006A7148" w:rsidP="006A7148">
      <w:pPr>
        <w:pStyle w:val="ListParagraph"/>
        <w:numPr>
          <w:ilvl w:val="0"/>
          <w:numId w:val="1"/>
        </w:numPr>
      </w:pPr>
      <w:r>
        <w:t>- but probably would be OK if the matter was in rem</w:t>
      </w:r>
    </w:p>
    <w:p w:rsidR="006A7148" w:rsidRPr="006A7148" w:rsidRDefault="006A7148" w:rsidP="006A7148">
      <w:pPr>
        <w:pStyle w:val="ListParagraph"/>
      </w:pPr>
    </w:p>
    <w:p w:rsidR="001D7598" w:rsidRDefault="001D7598" w:rsidP="001D7598">
      <w:pPr>
        <w:rPr>
          <w:rFonts w:ascii="Times New Roman" w:hAnsi="Times New Roman"/>
        </w:rPr>
      </w:pPr>
      <w:r>
        <w:t>Tagging - Burnham</w:t>
      </w:r>
    </w:p>
    <w:p w:rsidR="001D7598" w:rsidRPr="0018443F" w:rsidRDefault="001D7598" w:rsidP="001D7598">
      <w:r w:rsidRPr="0018443F">
        <w:t>- NJ couple separates</w:t>
      </w:r>
    </w:p>
    <w:p w:rsidR="001D7598" w:rsidRPr="0018443F" w:rsidRDefault="001D7598" w:rsidP="001D7598">
      <w:r w:rsidRPr="0018443F">
        <w:t xml:space="preserve">- </w:t>
      </w:r>
      <w:proofErr w:type="gramStart"/>
      <w:r w:rsidRPr="0018443F">
        <w:t>wife</w:t>
      </w:r>
      <w:proofErr w:type="gramEnd"/>
      <w:r w:rsidRPr="0018443F">
        <w:t xml:space="preserve"> and 2 children move to Cal.</w:t>
      </w:r>
      <w:r w:rsidR="00A3307C">
        <w:t xml:space="preserve">  </w:t>
      </w:r>
    </w:p>
    <w:p w:rsidR="001D7598" w:rsidRPr="0018443F" w:rsidRDefault="001D7598" w:rsidP="001D7598">
      <w:r w:rsidRPr="0018443F">
        <w:t xml:space="preserve">- </w:t>
      </w:r>
      <w:proofErr w:type="gramStart"/>
      <w:r w:rsidRPr="0018443F">
        <w:t>husband</w:t>
      </w:r>
      <w:proofErr w:type="gramEnd"/>
      <w:r w:rsidRPr="0018443F">
        <w:t xml:space="preserve"> visits for 3 days on business and to visit children</w:t>
      </w:r>
    </w:p>
    <w:p w:rsidR="001D7598" w:rsidRPr="0018443F" w:rsidRDefault="001D7598" w:rsidP="001D7598">
      <w:r w:rsidRPr="0018443F">
        <w:t xml:space="preserve">- </w:t>
      </w:r>
      <w:proofErr w:type="gramStart"/>
      <w:r w:rsidRPr="0018443F">
        <w:t>she</w:t>
      </w:r>
      <w:proofErr w:type="gramEnd"/>
      <w:r w:rsidRPr="0018443F">
        <w:t xml:space="preserve"> has him served for divorce and monetary relief</w:t>
      </w:r>
      <w:r w:rsidR="00670326">
        <w:t xml:space="preserve"> in California state court</w:t>
      </w:r>
    </w:p>
    <w:p w:rsidR="001D7598" w:rsidRPr="0018443F" w:rsidRDefault="001D7598" w:rsidP="001D7598"/>
    <w:p w:rsidR="001D7598" w:rsidRPr="0018443F" w:rsidRDefault="001D7598" w:rsidP="001D7598">
      <w:pPr>
        <w:outlineLvl w:val="0"/>
      </w:pPr>
      <w:proofErr w:type="spellStart"/>
      <w:r w:rsidRPr="0018443F">
        <w:t>Sct</w:t>
      </w:r>
      <w:proofErr w:type="spellEnd"/>
      <w:r w:rsidRPr="0018443F">
        <w:t xml:space="preserve"> upholds in-hand service</w:t>
      </w:r>
      <w:r w:rsidR="00670326">
        <w:t xml:space="preserve"> in the forum state as a source of personal jurisdiction</w:t>
      </w:r>
    </w:p>
    <w:p w:rsidR="00670326" w:rsidRDefault="00670326" w:rsidP="001D7598">
      <w:r>
        <w:t xml:space="preserve">- </w:t>
      </w:r>
      <w:proofErr w:type="gramStart"/>
      <w:r>
        <w:t>but</w:t>
      </w:r>
      <w:proofErr w:type="gramEnd"/>
      <w:r>
        <w:t xml:space="preserve"> cannot agree on the reason</w:t>
      </w:r>
    </w:p>
    <w:p w:rsidR="001D7598" w:rsidRPr="0018443F" w:rsidRDefault="00670326" w:rsidP="001D7598">
      <w:pPr>
        <w:outlineLvl w:val="0"/>
      </w:pPr>
      <w:r>
        <w:t>Scalia (Rehnquist &amp; Kennedy)</w:t>
      </w:r>
    </w:p>
    <w:p w:rsidR="001D7598" w:rsidRPr="0018443F" w:rsidRDefault="001D7598" w:rsidP="001D7598">
      <w:pPr>
        <w:rPr>
          <w:lang w:val="en-CA"/>
        </w:rPr>
      </w:pPr>
      <w:r w:rsidRPr="0018443F">
        <w:rPr>
          <w:lang w:val="en-CA"/>
        </w:rPr>
        <w:tab/>
        <w:t>- If OK at time of enactment of 14</w:t>
      </w:r>
      <w:r w:rsidRPr="0018443F">
        <w:rPr>
          <w:vertAlign w:val="superscript"/>
          <w:lang w:val="en-CA"/>
        </w:rPr>
        <w:t>th</w:t>
      </w:r>
      <w:r w:rsidRPr="0018443F">
        <w:rPr>
          <w:lang w:val="en-CA"/>
        </w:rPr>
        <w:t xml:space="preserve"> A (and generally accepted by states today) it’s OK now even if </w:t>
      </w:r>
      <w:r w:rsidR="006A7148">
        <w:rPr>
          <w:lang w:val="en-CA"/>
        </w:rPr>
        <w:t>it</w:t>
      </w:r>
      <w:r w:rsidRPr="0018443F">
        <w:rPr>
          <w:lang w:val="en-CA"/>
        </w:rPr>
        <w:t xml:space="preserve"> does not satisfy Int’l Shoe standard</w:t>
      </w:r>
    </w:p>
    <w:p w:rsidR="001D7598" w:rsidRPr="0018443F" w:rsidRDefault="001D7598" w:rsidP="001D7598">
      <w:pPr>
        <w:rPr>
          <w:lang w:val="en-CA"/>
        </w:rPr>
      </w:pPr>
      <w:r w:rsidRPr="0018443F">
        <w:rPr>
          <w:lang w:val="en-CA"/>
        </w:rPr>
        <w:tab/>
        <w:t xml:space="preserve">- </w:t>
      </w:r>
      <w:r w:rsidR="00670326">
        <w:rPr>
          <w:lang w:val="en-CA"/>
        </w:rPr>
        <w:t>Int’l Shoe standard adds sources of personal jurisdiction but cannot override sources of personal jurisdiction that were available at the time of the enactment of the 14</w:t>
      </w:r>
      <w:r w:rsidR="00670326" w:rsidRPr="00670326">
        <w:rPr>
          <w:vertAlign w:val="superscript"/>
          <w:lang w:val="en-CA"/>
        </w:rPr>
        <w:t>th</w:t>
      </w:r>
      <w:r w:rsidR="00670326">
        <w:rPr>
          <w:lang w:val="en-CA"/>
        </w:rPr>
        <w:t xml:space="preserve"> amendment and that are still generally use by the states today</w:t>
      </w:r>
    </w:p>
    <w:p w:rsidR="001D7598" w:rsidRPr="0018443F" w:rsidRDefault="001D7598" w:rsidP="001D7598">
      <w:pPr>
        <w:autoSpaceDE w:val="0"/>
        <w:autoSpaceDN w:val="0"/>
        <w:adjustRightInd w:val="0"/>
        <w:rPr>
          <w:lang w:val="en-CA"/>
        </w:rPr>
      </w:pPr>
    </w:p>
    <w:p w:rsidR="001D7598" w:rsidRPr="0018443F" w:rsidRDefault="00670326" w:rsidP="001D7598">
      <w:pPr>
        <w:autoSpaceDE w:val="0"/>
        <w:autoSpaceDN w:val="0"/>
        <w:adjustRightInd w:val="0"/>
        <w:ind w:left="360"/>
        <w:rPr>
          <w:lang w:val="en-CA"/>
        </w:rPr>
      </w:pPr>
      <w:r>
        <w:rPr>
          <w:lang w:val="en-CA"/>
        </w:rPr>
        <w:t xml:space="preserve">Is Scalia’s approach compatible </w:t>
      </w:r>
      <w:r w:rsidR="001D7598" w:rsidRPr="0018443F">
        <w:rPr>
          <w:lang w:val="en-CA"/>
        </w:rPr>
        <w:t>with Shaffer</w:t>
      </w:r>
      <w:r w:rsidR="006A7148">
        <w:rPr>
          <w:lang w:val="en-CA"/>
        </w:rPr>
        <w:t>?</w:t>
      </w:r>
    </w:p>
    <w:p w:rsidR="001D7598" w:rsidRDefault="00BC619B" w:rsidP="001D7598">
      <w:pPr>
        <w:numPr>
          <w:ilvl w:val="1"/>
          <w:numId w:val="1"/>
        </w:numPr>
        <w:autoSpaceDE w:val="0"/>
        <w:autoSpaceDN w:val="0"/>
        <w:adjustRightInd w:val="0"/>
        <w:spacing w:after="0" w:line="240" w:lineRule="auto"/>
        <w:ind w:left="1440"/>
        <w:rPr>
          <w:lang w:val="en-CA"/>
        </w:rPr>
      </w:pPr>
      <w:r>
        <w:rPr>
          <w:lang w:val="en-CA"/>
        </w:rPr>
        <w:t xml:space="preserve">Arguably – although the method of quasi in rem jurisdiction used in Shaffer was probably OK at the time of </w:t>
      </w:r>
      <w:proofErr w:type="spellStart"/>
      <w:r>
        <w:rPr>
          <w:lang w:val="en-CA"/>
        </w:rPr>
        <w:t>pennoyer</w:t>
      </w:r>
      <w:proofErr w:type="spellEnd"/>
      <w:r>
        <w:rPr>
          <w:lang w:val="en-CA"/>
        </w:rPr>
        <w:t>, it was not generally used by the states</w:t>
      </w:r>
    </w:p>
    <w:p w:rsidR="00BC619B" w:rsidRPr="0018443F" w:rsidRDefault="00BC619B" w:rsidP="00BC619B">
      <w:pPr>
        <w:numPr>
          <w:ilvl w:val="2"/>
          <w:numId w:val="1"/>
        </w:numPr>
        <w:autoSpaceDE w:val="0"/>
        <w:autoSpaceDN w:val="0"/>
        <w:adjustRightInd w:val="0"/>
        <w:spacing w:after="0" w:line="240" w:lineRule="auto"/>
        <w:rPr>
          <w:lang w:val="en-CA"/>
        </w:rPr>
      </w:pPr>
      <w:r>
        <w:rPr>
          <w:lang w:val="en-CA"/>
        </w:rPr>
        <w:t>Delaware’s attempt to assert quasi in rem on the basis of shares in Delaware corporations was unusual</w:t>
      </w:r>
    </w:p>
    <w:p w:rsidR="001D7598" w:rsidRDefault="00BC619B" w:rsidP="001D7598">
      <w:pPr>
        <w:numPr>
          <w:ilvl w:val="1"/>
          <w:numId w:val="1"/>
        </w:numPr>
        <w:autoSpaceDE w:val="0"/>
        <w:autoSpaceDN w:val="0"/>
        <w:adjustRightInd w:val="0"/>
        <w:spacing w:after="0" w:line="240" w:lineRule="auto"/>
        <w:ind w:left="1440"/>
        <w:rPr>
          <w:lang w:val="en-CA"/>
        </w:rPr>
      </w:pPr>
      <w:r>
        <w:rPr>
          <w:lang w:val="en-CA"/>
        </w:rPr>
        <w:t>On the other hand, quasi in rem jurisdiction on the basis of real property would probably be OK for Scalia, since it was OK at the time of the enactment of the 14</w:t>
      </w:r>
      <w:r w:rsidRPr="00BC619B">
        <w:rPr>
          <w:vertAlign w:val="superscript"/>
          <w:lang w:val="en-CA"/>
        </w:rPr>
        <w:t>th</w:t>
      </w:r>
      <w:r>
        <w:rPr>
          <w:lang w:val="en-CA"/>
        </w:rPr>
        <w:t xml:space="preserve"> amendment and is still generally used by the states today</w:t>
      </w:r>
    </w:p>
    <w:p w:rsidR="00DA1FCC" w:rsidRDefault="006A7148" w:rsidP="00DA1FCC">
      <w:pPr>
        <w:numPr>
          <w:ilvl w:val="0"/>
          <w:numId w:val="1"/>
        </w:numPr>
        <w:autoSpaceDE w:val="0"/>
        <w:autoSpaceDN w:val="0"/>
        <w:adjustRightInd w:val="0"/>
        <w:spacing w:after="0" w:line="240" w:lineRule="auto"/>
        <w:rPr>
          <w:lang w:val="en-CA"/>
        </w:rPr>
      </w:pPr>
      <w:r>
        <w:rPr>
          <w:lang w:val="en-CA"/>
        </w:rPr>
        <w:t xml:space="preserve">Green: </w:t>
      </w:r>
      <w:r w:rsidR="00DA1FCC">
        <w:rPr>
          <w:lang w:val="en-CA"/>
        </w:rPr>
        <w:t>Scalia’s theory accounts for the current case law, but it seems ad hoc</w:t>
      </w:r>
    </w:p>
    <w:p w:rsidR="001D7598" w:rsidRPr="00BC619B" w:rsidRDefault="001D7598" w:rsidP="00BC619B">
      <w:pPr>
        <w:autoSpaceDE w:val="0"/>
        <w:autoSpaceDN w:val="0"/>
        <w:adjustRightInd w:val="0"/>
        <w:spacing w:after="0" w:line="240" w:lineRule="auto"/>
        <w:ind w:left="1440"/>
        <w:rPr>
          <w:lang w:val="en-CA"/>
        </w:rPr>
      </w:pPr>
    </w:p>
    <w:p w:rsidR="001D7598" w:rsidRPr="0018443F" w:rsidRDefault="001D7598" w:rsidP="001D7598">
      <w:pPr>
        <w:outlineLvl w:val="0"/>
        <w:rPr>
          <w:lang w:val="en-CA"/>
        </w:rPr>
      </w:pPr>
      <w:proofErr w:type="gramStart"/>
      <w:r w:rsidRPr="0018443F">
        <w:rPr>
          <w:lang w:val="en-CA"/>
        </w:rPr>
        <w:t>what’s</w:t>
      </w:r>
      <w:proofErr w:type="gramEnd"/>
      <w:r w:rsidRPr="0018443F">
        <w:rPr>
          <w:lang w:val="en-CA"/>
        </w:rPr>
        <w:t xml:space="preserve"> Brennan’s reasoning (Marshall, Blackmun &amp; O’Connor)</w:t>
      </w:r>
    </w:p>
    <w:p w:rsidR="001D7598" w:rsidRPr="0018443F" w:rsidRDefault="001D7598" w:rsidP="001D7598">
      <w:pPr>
        <w:numPr>
          <w:ilvl w:val="0"/>
          <w:numId w:val="1"/>
        </w:numPr>
        <w:autoSpaceDE w:val="0"/>
        <w:autoSpaceDN w:val="0"/>
        <w:adjustRightInd w:val="0"/>
        <w:spacing w:after="0" w:line="240" w:lineRule="auto"/>
        <w:outlineLvl w:val="0"/>
        <w:rPr>
          <w:lang w:val="en-CA"/>
        </w:rPr>
      </w:pPr>
      <w:r w:rsidRPr="0018443F">
        <w:rPr>
          <w:lang w:val="en-CA"/>
        </w:rPr>
        <w:lastRenderedPageBreak/>
        <w:t xml:space="preserve">argues that </w:t>
      </w:r>
      <w:r w:rsidR="00BC619B">
        <w:rPr>
          <w:lang w:val="en-CA"/>
        </w:rPr>
        <w:t xml:space="preserve">all forms of personal jurisdiction must satisfy the requirements </w:t>
      </w:r>
      <w:r w:rsidRPr="0018443F">
        <w:rPr>
          <w:lang w:val="en-CA"/>
        </w:rPr>
        <w:t>of Int’l Shoe,</w:t>
      </w:r>
    </w:p>
    <w:p w:rsidR="00BC619B" w:rsidRDefault="00DA1FCC" w:rsidP="001D7598">
      <w:pPr>
        <w:numPr>
          <w:ilvl w:val="0"/>
          <w:numId w:val="1"/>
        </w:numPr>
        <w:autoSpaceDE w:val="0"/>
        <w:autoSpaceDN w:val="0"/>
        <w:adjustRightInd w:val="0"/>
        <w:spacing w:after="0" w:line="240" w:lineRule="auto"/>
        <w:outlineLvl w:val="0"/>
        <w:rPr>
          <w:lang w:val="en-CA"/>
        </w:rPr>
      </w:pPr>
      <w:r>
        <w:rPr>
          <w:lang w:val="en-CA"/>
        </w:rPr>
        <w:t>but thinks that tagging generally satisfies Shoe</w:t>
      </w:r>
    </w:p>
    <w:p w:rsidR="001D7598" w:rsidRDefault="00DA1FCC" w:rsidP="001D7598">
      <w:pPr>
        <w:numPr>
          <w:ilvl w:val="0"/>
          <w:numId w:val="1"/>
        </w:numPr>
        <w:autoSpaceDE w:val="0"/>
        <w:autoSpaceDN w:val="0"/>
        <w:adjustRightInd w:val="0"/>
        <w:spacing w:after="0" w:line="240" w:lineRule="auto"/>
        <w:outlineLvl w:val="0"/>
        <w:rPr>
          <w:lang w:val="en-CA"/>
        </w:rPr>
      </w:pPr>
      <w:r>
        <w:rPr>
          <w:lang w:val="en-CA"/>
        </w:rPr>
        <w:t>D has the</w:t>
      </w:r>
      <w:r w:rsidR="001D7598" w:rsidRPr="0018443F">
        <w:rPr>
          <w:lang w:val="en-CA"/>
        </w:rPr>
        <w:t xml:space="preserve"> protection of state while there etc.</w:t>
      </w:r>
    </w:p>
    <w:p w:rsidR="00DA1FCC" w:rsidRDefault="00DA1FCC" w:rsidP="001D7598">
      <w:pPr>
        <w:numPr>
          <w:ilvl w:val="0"/>
          <w:numId w:val="1"/>
        </w:numPr>
        <w:autoSpaceDE w:val="0"/>
        <w:autoSpaceDN w:val="0"/>
        <w:adjustRightInd w:val="0"/>
        <w:spacing w:after="0" w:line="240" w:lineRule="auto"/>
        <w:outlineLvl w:val="0"/>
        <w:rPr>
          <w:lang w:val="en-CA"/>
        </w:rPr>
      </w:pPr>
      <w:r>
        <w:rPr>
          <w:lang w:val="en-CA"/>
        </w:rPr>
        <w:t>Green: hard to see how these benefits are sufficiently great to justify the defendant being subject to personal jurisdiction for any cause of action</w:t>
      </w:r>
    </w:p>
    <w:p w:rsidR="00DA1FCC" w:rsidRDefault="00DA1FCC" w:rsidP="001D7598">
      <w:pPr>
        <w:numPr>
          <w:ilvl w:val="0"/>
          <w:numId w:val="1"/>
        </w:numPr>
        <w:autoSpaceDE w:val="0"/>
        <w:autoSpaceDN w:val="0"/>
        <w:adjustRightInd w:val="0"/>
        <w:spacing w:after="0" w:line="240" w:lineRule="auto"/>
        <w:outlineLvl w:val="0"/>
        <w:rPr>
          <w:lang w:val="en-CA"/>
        </w:rPr>
      </w:pPr>
      <w:r>
        <w:rPr>
          <w:lang w:val="en-CA"/>
        </w:rPr>
        <w:t>Brennan’s theory that all forms of personal jurisdiction must satisfy Shoe is more conceptually satisfying, but it would appear to follow that tagging on its own is unconstitutional as a source of personal jurisdiction</w:t>
      </w:r>
    </w:p>
    <w:p w:rsidR="00DA1FCC" w:rsidRDefault="00DA1FCC" w:rsidP="00DA1FCC">
      <w:pPr>
        <w:autoSpaceDE w:val="0"/>
        <w:autoSpaceDN w:val="0"/>
        <w:adjustRightInd w:val="0"/>
        <w:spacing w:after="0" w:line="240" w:lineRule="auto"/>
        <w:outlineLvl w:val="0"/>
        <w:rPr>
          <w:lang w:val="en-CA"/>
        </w:rPr>
      </w:pPr>
    </w:p>
    <w:p w:rsidR="00DA1FCC" w:rsidRPr="00DA1FCC" w:rsidRDefault="00DA1FCC" w:rsidP="00DA1FCC">
      <w:pPr>
        <w:pStyle w:val="ListParagraph"/>
        <w:numPr>
          <w:ilvl w:val="0"/>
          <w:numId w:val="1"/>
        </w:numPr>
        <w:autoSpaceDE w:val="0"/>
        <w:autoSpaceDN w:val="0"/>
        <w:adjustRightInd w:val="0"/>
        <w:spacing w:after="0" w:line="240" w:lineRule="auto"/>
        <w:outlineLvl w:val="0"/>
        <w:rPr>
          <w:lang w:val="en-CA"/>
        </w:rPr>
      </w:pPr>
      <w:r>
        <w:rPr>
          <w:lang w:val="en-CA"/>
        </w:rPr>
        <w:t>A different theory that might explain why tagging is constitutional is that the defendant can reasonably anticipate being subject to personal jurisdiction</w:t>
      </w:r>
    </w:p>
    <w:p w:rsidR="00DA1FCC" w:rsidRPr="00DA1FCC" w:rsidRDefault="00DA1FCC" w:rsidP="00DA1FCC">
      <w:pPr>
        <w:pStyle w:val="ListParagraph"/>
        <w:numPr>
          <w:ilvl w:val="1"/>
          <w:numId w:val="1"/>
        </w:numPr>
        <w:autoSpaceDE w:val="0"/>
        <w:autoSpaceDN w:val="0"/>
        <w:adjustRightInd w:val="0"/>
        <w:spacing w:after="0" w:line="240" w:lineRule="auto"/>
        <w:outlineLvl w:val="0"/>
        <w:rPr>
          <w:lang w:val="en-CA"/>
        </w:rPr>
      </w:pPr>
      <w:r>
        <w:rPr>
          <w:lang w:val="en-CA"/>
        </w:rPr>
        <w:t xml:space="preserve">the quid pro quo may not be a fair one (and thus Shoe may not be satisfied) </w:t>
      </w:r>
      <w:r w:rsidR="00170D5F">
        <w:rPr>
          <w:lang w:val="en-CA"/>
        </w:rPr>
        <w:t xml:space="preserve">but at least the defendant knows what he’s in for by going to a state </w:t>
      </w:r>
    </w:p>
    <w:p w:rsidR="00DA1FCC" w:rsidRDefault="00DA1FCC" w:rsidP="00DA1FCC">
      <w:pPr>
        <w:autoSpaceDE w:val="0"/>
        <w:autoSpaceDN w:val="0"/>
        <w:adjustRightInd w:val="0"/>
        <w:spacing w:after="0" w:line="240" w:lineRule="auto"/>
        <w:outlineLvl w:val="0"/>
        <w:rPr>
          <w:lang w:val="en-CA"/>
        </w:rPr>
      </w:pPr>
    </w:p>
    <w:p w:rsidR="00DA1FCC" w:rsidRDefault="00DA1FCC" w:rsidP="00DA1FCC">
      <w:pPr>
        <w:pStyle w:val="ListParagraph"/>
        <w:numPr>
          <w:ilvl w:val="0"/>
          <w:numId w:val="1"/>
        </w:numPr>
        <w:autoSpaceDE w:val="0"/>
        <w:autoSpaceDN w:val="0"/>
        <w:adjustRightInd w:val="0"/>
        <w:spacing w:after="0" w:line="240" w:lineRule="auto"/>
        <w:outlineLvl w:val="0"/>
        <w:rPr>
          <w:lang w:val="en-CA"/>
        </w:rPr>
      </w:pPr>
      <w:r>
        <w:rPr>
          <w:lang w:val="en-CA"/>
        </w:rPr>
        <w:t xml:space="preserve">note that in Burnham there may have been </w:t>
      </w:r>
      <w:r w:rsidRPr="00170D5F">
        <w:rPr>
          <w:i/>
          <w:lang w:val="en-CA"/>
        </w:rPr>
        <w:t>specific</w:t>
      </w:r>
      <w:r>
        <w:rPr>
          <w:lang w:val="en-CA"/>
        </w:rPr>
        <w:t xml:space="preserve"> personal jurisdiction, independently of tagging</w:t>
      </w:r>
    </w:p>
    <w:p w:rsidR="00DA1FCC" w:rsidRPr="00DA1FCC" w:rsidRDefault="00DA1FCC" w:rsidP="00DA1FCC">
      <w:pPr>
        <w:pStyle w:val="ListParagraph"/>
        <w:rPr>
          <w:lang w:val="en-CA"/>
        </w:rPr>
      </w:pPr>
    </w:p>
    <w:p w:rsidR="00DA1FCC" w:rsidRPr="00DA1FCC" w:rsidRDefault="00DA1FCC" w:rsidP="00DA1FCC">
      <w:pPr>
        <w:pStyle w:val="ListParagraph"/>
        <w:numPr>
          <w:ilvl w:val="0"/>
          <w:numId w:val="1"/>
        </w:numPr>
        <w:autoSpaceDE w:val="0"/>
        <w:autoSpaceDN w:val="0"/>
        <w:adjustRightInd w:val="0"/>
        <w:spacing w:after="0" w:line="240" w:lineRule="auto"/>
        <w:outlineLvl w:val="0"/>
        <w:rPr>
          <w:lang w:val="en-CA"/>
        </w:rPr>
      </w:pPr>
      <w:r>
        <w:rPr>
          <w:lang w:val="en-CA"/>
        </w:rPr>
        <w:t>The defendant’s children were in California and they were getting the protection of the state’s laws</w:t>
      </w:r>
    </w:p>
    <w:p w:rsidR="00DA1FCC" w:rsidRDefault="00DA1FCC" w:rsidP="00DA1FCC">
      <w:pPr>
        <w:pStyle w:val="ListParagraph"/>
        <w:numPr>
          <w:ilvl w:val="0"/>
          <w:numId w:val="1"/>
        </w:numPr>
        <w:autoSpaceDE w:val="0"/>
        <w:autoSpaceDN w:val="0"/>
        <w:adjustRightInd w:val="0"/>
        <w:spacing w:after="0" w:line="240" w:lineRule="auto"/>
        <w:outlineLvl w:val="0"/>
        <w:rPr>
          <w:lang w:val="en-CA"/>
        </w:rPr>
      </w:pPr>
      <w:r>
        <w:rPr>
          <w:lang w:val="en-CA"/>
        </w:rPr>
        <w:t>Furthermore, the cause of action related to those benefits – the action was for divorce and child support</w:t>
      </w:r>
    </w:p>
    <w:p w:rsidR="006A7148" w:rsidRPr="00DA1FCC" w:rsidRDefault="006A7148" w:rsidP="00DA1FCC">
      <w:pPr>
        <w:pStyle w:val="ListParagraph"/>
        <w:numPr>
          <w:ilvl w:val="0"/>
          <w:numId w:val="1"/>
        </w:numPr>
        <w:autoSpaceDE w:val="0"/>
        <w:autoSpaceDN w:val="0"/>
        <w:adjustRightInd w:val="0"/>
        <w:spacing w:after="0" w:line="240" w:lineRule="auto"/>
        <w:outlineLvl w:val="0"/>
        <w:rPr>
          <w:lang w:val="en-CA"/>
        </w:rPr>
      </w:pPr>
      <w:r>
        <w:rPr>
          <w:lang w:val="en-CA"/>
        </w:rPr>
        <w:t>D did not ask that they go to CA though…</w:t>
      </w:r>
    </w:p>
    <w:p w:rsidR="001D7598" w:rsidRDefault="001D7598" w:rsidP="00170D5F">
      <w:pPr>
        <w:pStyle w:val="ListParagraph"/>
      </w:pPr>
    </w:p>
    <w:p w:rsidR="001D7598" w:rsidRPr="0018443F" w:rsidRDefault="001D7598" w:rsidP="001D7598">
      <w:r w:rsidRPr="0018443F">
        <w:t>F</w:t>
      </w:r>
      <w:r w:rsidR="00170D5F">
        <w:t>ive general considerations that arise in personal jurisdiction cases</w:t>
      </w:r>
    </w:p>
    <w:p w:rsidR="001D7598" w:rsidRPr="0018443F" w:rsidRDefault="001D7598" w:rsidP="001D7598">
      <w:pPr>
        <w:numPr>
          <w:ilvl w:val="0"/>
          <w:numId w:val="6"/>
        </w:numPr>
      </w:pPr>
      <w:proofErr w:type="spellStart"/>
      <w:r w:rsidRPr="0018443F">
        <w:t>Pennoyer</w:t>
      </w:r>
      <w:proofErr w:type="spellEnd"/>
      <w:r w:rsidR="00170D5F">
        <w:t xml:space="preserve"> theory</w:t>
      </w:r>
    </w:p>
    <w:p w:rsidR="001D7598" w:rsidRPr="0018443F" w:rsidRDefault="001D7598" w:rsidP="001D7598">
      <w:pPr>
        <w:numPr>
          <w:ilvl w:val="0"/>
          <w:numId w:val="6"/>
        </w:numPr>
      </w:pPr>
      <w:r w:rsidRPr="0018443F">
        <w:t>International Shoe power theory</w:t>
      </w:r>
    </w:p>
    <w:p w:rsidR="001D7598" w:rsidRPr="0018443F" w:rsidRDefault="001D7598" w:rsidP="001D7598">
      <w:pPr>
        <w:numPr>
          <w:ilvl w:val="0"/>
          <w:numId w:val="6"/>
        </w:numPr>
      </w:pPr>
      <w:r w:rsidRPr="0018443F">
        <w:t>McGee factors</w:t>
      </w:r>
    </w:p>
    <w:p w:rsidR="001D7598" w:rsidRPr="0018443F" w:rsidRDefault="00170D5F" w:rsidP="001D7598">
      <w:pPr>
        <w:numPr>
          <w:ilvl w:val="0"/>
          <w:numId w:val="6"/>
        </w:numPr>
      </w:pPr>
      <w:r>
        <w:t>Can the defendant r</w:t>
      </w:r>
      <w:r w:rsidR="001D7598" w:rsidRPr="0018443F">
        <w:t>easonably anticipate PJ due to actions</w:t>
      </w:r>
      <w:r w:rsidR="006A7148">
        <w:t>?</w:t>
      </w:r>
    </w:p>
    <w:p w:rsidR="001D7598" w:rsidRPr="0018443F" w:rsidRDefault="001D7598" w:rsidP="001D7598">
      <w:pPr>
        <w:numPr>
          <w:ilvl w:val="0"/>
          <w:numId w:val="6"/>
        </w:numPr>
      </w:pPr>
      <w:r w:rsidRPr="0018443F">
        <w:t xml:space="preserve">Scalia’s theory – OK if OK under Int’l Shoe but also OK if OK under </w:t>
      </w:r>
      <w:proofErr w:type="spellStart"/>
      <w:r w:rsidRPr="0018443F">
        <w:t>Pennoyer</w:t>
      </w:r>
      <w:proofErr w:type="spellEnd"/>
      <w:r w:rsidRPr="0018443F">
        <w:t xml:space="preserve"> and still used by states today</w:t>
      </w:r>
    </w:p>
    <w:p w:rsidR="001D7598" w:rsidRDefault="001D7598" w:rsidP="001D7598">
      <w:pPr>
        <w:rPr>
          <w:b/>
        </w:rPr>
      </w:pPr>
    </w:p>
    <w:p w:rsidR="001D7598" w:rsidRDefault="001D7598" w:rsidP="001D7598"/>
    <w:p w:rsidR="001D7598" w:rsidRDefault="001D7598" w:rsidP="001D7598">
      <w:pPr>
        <w:pStyle w:val="ListParagraph"/>
        <w:rPr>
          <w:b/>
        </w:rPr>
      </w:pPr>
      <w:r w:rsidRPr="0005014B">
        <w:rPr>
          <w:b/>
        </w:rPr>
        <w:t>Outline</w:t>
      </w:r>
      <w:r w:rsidR="00170D5F">
        <w:rPr>
          <w:b/>
        </w:rPr>
        <w:t xml:space="preserve"> of PJ</w:t>
      </w:r>
    </w:p>
    <w:p w:rsidR="001D7598" w:rsidRPr="0005014B" w:rsidRDefault="0023476F" w:rsidP="001D7598">
      <w:pPr>
        <w:pStyle w:val="ListParagraph"/>
        <w:rPr>
          <w:b/>
        </w:rPr>
      </w:pPr>
      <w:r>
        <w:rPr>
          <w:b/>
          <w:noProof/>
        </w:rPr>
        <w:lastRenderedPageBreak/>
        <w:drawing>
          <wp:inline distT="0" distB="0" distL="0" distR="0">
            <wp:extent cx="5943600" cy="30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019425"/>
                    </a:xfrm>
                    <a:prstGeom prst="rect">
                      <a:avLst/>
                    </a:prstGeom>
                  </pic:spPr>
                </pic:pic>
              </a:graphicData>
            </a:graphic>
          </wp:inline>
        </w:drawing>
      </w:r>
    </w:p>
    <w:p w:rsidR="001D7598" w:rsidRDefault="001D7598" w:rsidP="001D7598">
      <w:pPr>
        <w:pStyle w:val="Level1"/>
        <w:tabs>
          <w:tab w:val="left" w:pos="720"/>
        </w:tabs>
      </w:pPr>
      <w:r>
        <w:t>Run through some examples</w:t>
      </w:r>
      <w:r w:rsidR="00170D5F">
        <w:t xml:space="preserve"> </w:t>
      </w:r>
      <w:proofErr w:type="gramStart"/>
      <w:r w:rsidR="00170D5F">
        <w:t xml:space="preserve">from  </w:t>
      </w:r>
      <w:r w:rsidR="006A7148">
        <w:t>\</w:t>
      </w:r>
      <w:proofErr w:type="gramEnd"/>
      <w:r w:rsidR="00170D5F">
        <w:t>old exams</w:t>
      </w:r>
    </w:p>
    <w:p w:rsidR="00170D5F" w:rsidRDefault="00170D5F" w:rsidP="001D7598">
      <w:pPr>
        <w:pStyle w:val="Level1"/>
        <w:tabs>
          <w:tab w:val="left" w:pos="720"/>
        </w:tabs>
      </w:pPr>
    </w:p>
    <w:p w:rsidR="00170D5F" w:rsidRDefault="00170D5F" w:rsidP="00170D5F">
      <w:pPr>
        <w:pStyle w:val="Level1"/>
        <w:numPr>
          <w:ilvl w:val="0"/>
          <w:numId w:val="1"/>
        </w:numPr>
      </w:pPr>
    </w:p>
    <w:p w:rsidR="001D7598" w:rsidRDefault="001D7598" w:rsidP="001D7598">
      <w:pPr>
        <w:pStyle w:val="Level1"/>
        <w:tabs>
          <w:tab w:val="left" w:pos="720"/>
        </w:tabs>
      </w:pPr>
    </w:p>
    <w:p w:rsidR="00BF5DC9" w:rsidRDefault="001D7598" w:rsidP="001D7598">
      <w:pPr>
        <w:pStyle w:val="Level1"/>
        <w:tabs>
          <w:tab w:val="left" w:pos="720"/>
        </w:tabs>
        <w:ind w:left="0"/>
        <w:rPr>
          <w:b/>
          <w:bCs/>
          <w:color w:val="000000"/>
          <w:sz w:val="27"/>
          <w:szCs w:val="27"/>
        </w:rPr>
      </w:pPr>
      <w:r>
        <w:rPr>
          <w:rStyle w:val="apple-style-span"/>
          <w:color w:val="000000"/>
          <w:sz w:val="27"/>
          <w:szCs w:val="27"/>
        </w:rPr>
        <w:t>P (a citizen of Nebraska) sues D (a citizen of New York) for $100,000 damages in Nebraska state court in connection with a brawl that occurred in Illinois. D has never been to the state of Nebraska and owns no property there. D appears to argue that the Nebraska state court lacks personal jurisdiction over her. Under Nebraska state law, however, motions to dismiss for lack of personal jurisdiction are not allowed: Anyone appearing before a Nebraska state court, even when arguing lack of personal jurisdiction, submits himself to general personal jurisdiction.</w:t>
      </w:r>
      <w:r>
        <w:rPr>
          <w:rStyle w:val="apple-converted-space"/>
          <w:color w:val="000000"/>
          <w:sz w:val="27"/>
          <w:szCs w:val="27"/>
        </w:rPr>
        <w:t> </w:t>
      </w:r>
      <w:r>
        <w:rPr>
          <w:color w:val="000000"/>
          <w:sz w:val="27"/>
          <w:szCs w:val="27"/>
        </w:rPr>
        <w:br/>
      </w:r>
      <w:r>
        <w:rPr>
          <w:color w:val="000000"/>
          <w:sz w:val="27"/>
          <w:szCs w:val="27"/>
        </w:rPr>
        <w:br/>
      </w:r>
      <w:r>
        <w:rPr>
          <w:rStyle w:val="apple-style-span"/>
          <w:color w:val="000000"/>
          <w:sz w:val="27"/>
          <w:szCs w:val="27"/>
        </w:rPr>
        <w:t>D argues that the Nebraska state law is unconstitutional. Is she right?</w:t>
      </w:r>
      <w:r>
        <w:rPr>
          <w:b/>
          <w:bCs/>
          <w:color w:val="000000"/>
          <w:sz w:val="27"/>
          <w:szCs w:val="27"/>
        </w:rPr>
        <w:br/>
      </w:r>
    </w:p>
    <w:p w:rsidR="001D7598" w:rsidRDefault="001D7598" w:rsidP="001D7598">
      <w:pPr>
        <w:pStyle w:val="Level1"/>
        <w:tabs>
          <w:tab w:val="left" w:pos="720"/>
        </w:tabs>
        <w:ind w:left="0"/>
        <w:rPr>
          <w:rStyle w:val="apple-style-span"/>
          <w:bCs/>
          <w:color w:val="000000"/>
          <w:sz w:val="27"/>
          <w:szCs w:val="27"/>
        </w:rPr>
      </w:pPr>
      <w:r w:rsidRPr="00BF5DC9">
        <w:rPr>
          <w:rStyle w:val="apple-style-span"/>
          <w:bCs/>
          <w:color w:val="000000"/>
          <w:sz w:val="27"/>
          <w:szCs w:val="27"/>
        </w:rPr>
        <w:t xml:space="preserve">- </w:t>
      </w:r>
      <w:proofErr w:type="gramStart"/>
      <w:r w:rsidRPr="00BF5DC9">
        <w:rPr>
          <w:rStyle w:val="apple-style-span"/>
          <w:bCs/>
          <w:color w:val="000000"/>
          <w:sz w:val="27"/>
          <w:szCs w:val="27"/>
        </w:rPr>
        <w:t>no</w:t>
      </w:r>
      <w:proofErr w:type="gramEnd"/>
      <w:r w:rsidRPr="00BF5DC9">
        <w:rPr>
          <w:rStyle w:val="apple-style-span"/>
          <w:bCs/>
          <w:color w:val="000000"/>
          <w:sz w:val="27"/>
          <w:szCs w:val="27"/>
        </w:rPr>
        <w:t xml:space="preserve"> special appearances </w:t>
      </w:r>
      <w:r w:rsidR="00BF5DC9">
        <w:rPr>
          <w:rStyle w:val="apple-style-span"/>
          <w:bCs/>
          <w:color w:val="000000"/>
          <w:sz w:val="27"/>
          <w:szCs w:val="27"/>
        </w:rPr>
        <w:t>allowed</w:t>
      </w:r>
    </w:p>
    <w:p w:rsidR="006A7148" w:rsidRDefault="006A7148" w:rsidP="001D7598">
      <w:pPr>
        <w:pStyle w:val="Level1"/>
        <w:tabs>
          <w:tab w:val="left" w:pos="720"/>
        </w:tabs>
        <w:ind w:left="0"/>
        <w:rPr>
          <w:rStyle w:val="apple-style-span"/>
          <w:bCs/>
          <w:color w:val="000000"/>
          <w:sz w:val="27"/>
          <w:szCs w:val="27"/>
        </w:rPr>
      </w:pPr>
    </w:p>
    <w:p w:rsidR="00BF5DC9" w:rsidRPr="00BF5DC9" w:rsidRDefault="00BF5DC9" w:rsidP="001D7598">
      <w:pPr>
        <w:pStyle w:val="Level1"/>
        <w:tabs>
          <w:tab w:val="left" w:pos="720"/>
        </w:tabs>
        <w:ind w:left="0"/>
        <w:rPr>
          <w:rStyle w:val="apple-style-span"/>
          <w:bCs/>
          <w:color w:val="000000"/>
          <w:sz w:val="27"/>
          <w:szCs w:val="27"/>
        </w:rPr>
      </w:pPr>
      <w:proofErr w:type="gramStart"/>
      <w:r>
        <w:rPr>
          <w:rStyle w:val="apple-style-span"/>
          <w:bCs/>
          <w:color w:val="000000"/>
          <w:sz w:val="27"/>
          <w:szCs w:val="27"/>
        </w:rPr>
        <w:t>how</w:t>
      </w:r>
      <w:proofErr w:type="gramEnd"/>
      <w:r>
        <w:rPr>
          <w:rStyle w:val="apple-style-span"/>
          <w:bCs/>
          <w:color w:val="000000"/>
          <w:sz w:val="27"/>
          <w:szCs w:val="27"/>
        </w:rPr>
        <w:t xml:space="preserve"> to answer</w:t>
      </w:r>
    </w:p>
    <w:p w:rsidR="001D7598" w:rsidRPr="00BF5DC9" w:rsidRDefault="00BF5DC9" w:rsidP="001D7598">
      <w:pPr>
        <w:pStyle w:val="Level1"/>
        <w:numPr>
          <w:ilvl w:val="0"/>
          <w:numId w:val="7"/>
        </w:numPr>
        <w:rPr>
          <w:rStyle w:val="apple-style-span"/>
          <w:bCs/>
          <w:color w:val="000000"/>
          <w:sz w:val="27"/>
          <w:szCs w:val="27"/>
        </w:rPr>
      </w:pPr>
      <w:r>
        <w:rPr>
          <w:rStyle w:val="apple-style-span"/>
          <w:bCs/>
          <w:color w:val="000000"/>
          <w:sz w:val="27"/>
          <w:szCs w:val="27"/>
        </w:rPr>
        <w:t xml:space="preserve">not enough to say </w:t>
      </w:r>
      <w:r w:rsidR="001D7598" w:rsidRPr="00BF5DC9">
        <w:rPr>
          <w:rStyle w:val="apple-style-span"/>
          <w:bCs/>
          <w:color w:val="000000"/>
          <w:sz w:val="27"/>
          <w:szCs w:val="27"/>
        </w:rPr>
        <w:t xml:space="preserve">OK under </w:t>
      </w:r>
      <w:proofErr w:type="spellStart"/>
      <w:r w:rsidR="001D7598" w:rsidRPr="00BF5DC9">
        <w:rPr>
          <w:rStyle w:val="apple-style-span"/>
          <w:bCs/>
          <w:color w:val="000000"/>
          <w:sz w:val="27"/>
          <w:szCs w:val="27"/>
        </w:rPr>
        <w:t>Pennoyer</w:t>
      </w:r>
      <w:proofErr w:type="spellEnd"/>
    </w:p>
    <w:p w:rsidR="001D7598" w:rsidRPr="00BF5DC9" w:rsidRDefault="00BF5DC9" w:rsidP="001D7598">
      <w:pPr>
        <w:pStyle w:val="Level1"/>
        <w:numPr>
          <w:ilvl w:val="0"/>
          <w:numId w:val="7"/>
        </w:numPr>
        <w:rPr>
          <w:rStyle w:val="apple-style-span"/>
          <w:bCs/>
          <w:color w:val="000000"/>
          <w:sz w:val="27"/>
          <w:szCs w:val="27"/>
        </w:rPr>
      </w:pPr>
      <w:r>
        <w:rPr>
          <w:rStyle w:val="apple-style-span"/>
          <w:bCs/>
          <w:color w:val="000000"/>
          <w:sz w:val="27"/>
          <w:szCs w:val="27"/>
        </w:rPr>
        <w:t xml:space="preserve">What about </w:t>
      </w:r>
      <w:r w:rsidR="001D7598" w:rsidRPr="00BF5DC9">
        <w:rPr>
          <w:rStyle w:val="apple-style-span"/>
          <w:bCs/>
          <w:i/>
          <w:color w:val="000000"/>
          <w:sz w:val="27"/>
          <w:szCs w:val="27"/>
        </w:rPr>
        <w:t>Now</w:t>
      </w:r>
      <w:r w:rsidR="001D7598" w:rsidRPr="00BF5DC9">
        <w:rPr>
          <w:rStyle w:val="apple-style-span"/>
          <w:bCs/>
          <w:color w:val="000000"/>
          <w:sz w:val="27"/>
          <w:szCs w:val="27"/>
        </w:rPr>
        <w:t>? (think of Sh</w:t>
      </w:r>
      <w:r>
        <w:rPr>
          <w:rStyle w:val="apple-style-span"/>
          <w:bCs/>
          <w:color w:val="000000"/>
          <w:sz w:val="27"/>
          <w:szCs w:val="27"/>
        </w:rPr>
        <w:t xml:space="preserve">affer, which struck down a form of PJ that was OK under </w:t>
      </w:r>
      <w:proofErr w:type="spellStart"/>
      <w:r>
        <w:rPr>
          <w:rStyle w:val="apple-style-span"/>
          <w:bCs/>
          <w:color w:val="000000"/>
          <w:sz w:val="27"/>
          <w:szCs w:val="27"/>
        </w:rPr>
        <w:t>Pennoyer</w:t>
      </w:r>
      <w:proofErr w:type="spellEnd"/>
      <w:r>
        <w:rPr>
          <w:rStyle w:val="apple-style-span"/>
          <w:bCs/>
          <w:color w:val="000000"/>
          <w:sz w:val="27"/>
          <w:szCs w:val="27"/>
        </w:rPr>
        <w:t>)</w:t>
      </w:r>
    </w:p>
    <w:p w:rsidR="001D7598" w:rsidRDefault="001D7598" w:rsidP="001D7598">
      <w:pPr>
        <w:pStyle w:val="Level1"/>
        <w:numPr>
          <w:ilvl w:val="0"/>
          <w:numId w:val="7"/>
        </w:numPr>
        <w:rPr>
          <w:bCs/>
          <w:color w:val="000000"/>
          <w:sz w:val="27"/>
          <w:szCs w:val="27"/>
        </w:rPr>
      </w:pPr>
      <w:proofErr w:type="gramStart"/>
      <w:r w:rsidRPr="00BF5DC9">
        <w:rPr>
          <w:bCs/>
          <w:color w:val="000000"/>
          <w:sz w:val="27"/>
          <w:szCs w:val="27"/>
        </w:rPr>
        <w:t>what</w:t>
      </w:r>
      <w:proofErr w:type="gramEnd"/>
      <w:r w:rsidRPr="00BF5DC9">
        <w:rPr>
          <w:bCs/>
          <w:color w:val="000000"/>
          <w:sz w:val="27"/>
          <w:szCs w:val="27"/>
        </w:rPr>
        <w:t xml:space="preserve"> case</w:t>
      </w:r>
      <w:r w:rsidR="00BF5DC9">
        <w:rPr>
          <w:bCs/>
          <w:color w:val="000000"/>
          <w:sz w:val="27"/>
          <w:szCs w:val="27"/>
        </w:rPr>
        <w:t>s</w:t>
      </w:r>
      <w:r w:rsidRPr="00BF5DC9">
        <w:rPr>
          <w:bCs/>
          <w:color w:val="000000"/>
          <w:sz w:val="27"/>
          <w:szCs w:val="27"/>
        </w:rPr>
        <w:t xml:space="preserve"> to look at? Burnham</w:t>
      </w:r>
      <w:r w:rsidR="00BF5DC9">
        <w:rPr>
          <w:bCs/>
          <w:color w:val="000000"/>
          <w:sz w:val="27"/>
          <w:szCs w:val="27"/>
        </w:rPr>
        <w:t>/Shaffer</w:t>
      </w:r>
    </w:p>
    <w:p w:rsidR="00BF5DC9" w:rsidRDefault="00BF5DC9" w:rsidP="00BF5DC9">
      <w:pPr>
        <w:pStyle w:val="Level1"/>
        <w:numPr>
          <w:ilvl w:val="1"/>
          <w:numId w:val="7"/>
        </w:numPr>
        <w:rPr>
          <w:bCs/>
          <w:color w:val="000000"/>
          <w:sz w:val="27"/>
          <w:szCs w:val="27"/>
        </w:rPr>
      </w:pPr>
      <w:r>
        <w:rPr>
          <w:bCs/>
          <w:color w:val="000000"/>
          <w:sz w:val="27"/>
          <w:szCs w:val="27"/>
        </w:rPr>
        <w:t>These are cases</w:t>
      </w:r>
      <w:r w:rsidR="002A5E3F">
        <w:rPr>
          <w:bCs/>
          <w:color w:val="000000"/>
          <w:sz w:val="27"/>
          <w:szCs w:val="27"/>
        </w:rPr>
        <w:t xml:space="preserve"> that consider forms of personal jurisdiction that were OK under </w:t>
      </w:r>
      <w:proofErr w:type="spellStart"/>
      <w:r w:rsidR="002A5E3F">
        <w:rPr>
          <w:bCs/>
          <w:color w:val="000000"/>
          <w:sz w:val="27"/>
          <w:szCs w:val="27"/>
        </w:rPr>
        <w:t>Pennoyer</w:t>
      </w:r>
      <w:proofErr w:type="spellEnd"/>
      <w:r w:rsidR="002A5E3F">
        <w:rPr>
          <w:bCs/>
          <w:color w:val="000000"/>
          <w:sz w:val="27"/>
          <w:szCs w:val="27"/>
        </w:rPr>
        <w:t xml:space="preserve"> but that are difficult to justify under Shoe</w:t>
      </w:r>
    </w:p>
    <w:p w:rsidR="00BF5DC9" w:rsidRDefault="00BF5DC9" w:rsidP="00BF5DC9">
      <w:pPr>
        <w:pStyle w:val="Level1"/>
        <w:rPr>
          <w:bCs/>
          <w:color w:val="000000"/>
          <w:sz w:val="27"/>
          <w:szCs w:val="27"/>
        </w:rPr>
      </w:pPr>
    </w:p>
    <w:p w:rsidR="001D7598" w:rsidRPr="00BF5DC9" w:rsidRDefault="00BF5DC9" w:rsidP="00BF5DC9">
      <w:pPr>
        <w:pStyle w:val="Level1"/>
        <w:numPr>
          <w:ilvl w:val="0"/>
          <w:numId w:val="7"/>
        </w:numPr>
        <w:rPr>
          <w:bCs/>
          <w:color w:val="000000"/>
          <w:sz w:val="27"/>
          <w:szCs w:val="27"/>
        </w:rPr>
      </w:pPr>
      <w:r>
        <w:rPr>
          <w:bCs/>
          <w:color w:val="000000"/>
          <w:sz w:val="27"/>
          <w:szCs w:val="27"/>
        </w:rPr>
        <w:lastRenderedPageBreak/>
        <w:t xml:space="preserve">could say that this is in effect a form of tagging and </w:t>
      </w:r>
      <w:r w:rsidR="001D7598" w:rsidRPr="00BF5DC9">
        <w:rPr>
          <w:bCs/>
          <w:color w:val="000000"/>
          <w:sz w:val="27"/>
          <w:szCs w:val="27"/>
        </w:rPr>
        <w:t>tagging good under Burnham so OK now</w:t>
      </w:r>
    </w:p>
    <w:p w:rsidR="001D7598" w:rsidRDefault="001D7598" w:rsidP="001D7598">
      <w:pPr>
        <w:pStyle w:val="Level1"/>
        <w:numPr>
          <w:ilvl w:val="0"/>
          <w:numId w:val="7"/>
        </w:numPr>
        <w:rPr>
          <w:bCs/>
          <w:color w:val="000000"/>
          <w:sz w:val="27"/>
          <w:szCs w:val="27"/>
        </w:rPr>
      </w:pPr>
      <w:r w:rsidRPr="00BF5DC9">
        <w:rPr>
          <w:bCs/>
          <w:color w:val="000000"/>
          <w:sz w:val="27"/>
          <w:szCs w:val="27"/>
        </w:rPr>
        <w:t>BUT Burnham involved case where D came willingly and for business</w:t>
      </w:r>
    </w:p>
    <w:p w:rsidR="00BF5DC9" w:rsidRDefault="00BF5DC9" w:rsidP="001D7598">
      <w:pPr>
        <w:pStyle w:val="Level1"/>
        <w:numPr>
          <w:ilvl w:val="0"/>
          <w:numId w:val="7"/>
        </w:numPr>
        <w:rPr>
          <w:bCs/>
          <w:color w:val="000000"/>
          <w:sz w:val="27"/>
          <w:szCs w:val="27"/>
        </w:rPr>
      </w:pPr>
      <w:r>
        <w:rPr>
          <w:bCs/>
          <w:color w:val="000000"/>
          <w:sz w:val="27"/>
          <w:szCs w:val="27"/>
        </w:rPr>
        <w:t>here D is appearing only to argue no PJ</w:t>
      </w:r>
    </w:p>
    <w:p w:rsidR="002A5E3F" w:rsidRDefault="002A5E3F" w:rsidP="001D7598">
      <w:pPr>
        <w:pStyle w:val="Level1"/>
        <w:numPr>
          <w:ilvl w:val="0"/>
          <w:numId w:val="7"/>
        </w:numPr>
        <w:rPr>
          <w:bCs/>
          <w:color w:val="000000"/>
          <w:sz w:val="27"/>
          <w:szCs w:val="27"/>
        </w:rPr>
      </w:pPr>
      <w:r>
        <w:rPr>
          <w:bCs/>
          <w:color w:val="000000"/>
          <w:sz w:val="27"/>
          <w:szCs w:val="27"/>
        </w:rPr>
        <w:t>Brennan theory in Burnham</w:t>
      </w:r>
    </w:p>
    <w:p w:rsidR="002A5E3F" w:rsidRDefault="002A5E3F" w:rsidP="002A5E3F">
      <w:pPr>
        <w:pStyle w:val="Level1"/>
        <w:numPr>
          <w:ilvl w:val="1"/>
          <w:numId w:val="7"/>
        </w:numPr>
        <w:rPr>
          <w:bCs/>
          <w:color w:val="000000"/>
          <w:sz w:val="27"/>
          <w:szCs w:val="27"/>
        </w:rPr>
      </w:pPr>
      <w:r>
        <w:rPr>
          <w:bCs/>
          <w:color w:val="000000"/>
          <w:sz w:val="27"/>
          <w:szCs w:val="27"/>
        </w:rPr>
        <w:t>must satisfy Int’l Shoe</w:t>
      </w:r>
    </w:p>
    <w:p w:rsidR="002A5E3F" w:rsidRDefault="002A5E3F" w:rsidP="002A5E3F">
      <w:pPr>
        <w:pStyle w:val="Level1"/>
        <w:numPr>
          <w:ilvl w:val="2"/>
          <w:numId w:val="7"/>
        </w:numPr>
        <w:rPr>
          <w:bCs/>
          <w:color w:val="000000"/>
          <w:sz w:val="27"/>
          <w:szCs w:val="27"/>
        </w:rPr>
      </w:pPr>
      <w:r>
        <w:rPr>
          <w:bCs/>
          <w:color w:val="000000"/>
          <w:sz w:val="27"/>
          <w:szCs w:val="27"/>
        </w:rPr>
        <w:t>Arguably does not, because the defendant is not willingly getting the benefits of protection of the forum state</w:t>
      </w:r>
    </w:p>
    <w:p w:rsidR="002A5E3F" w:rsidRDefault="002A5E3F" w:rsidP="002A5E3F">
      <w:pPr>
        <w:pStyle w:val="Level1"/>
        <w:ind w:left="2160"/>
        <w:rPr>
          <w:bCs/>
          <w:color w:val="000000"/>
          <w:sz w:val="27"/>
          <w:szCs w:val="27"/>
        </w:rPr>
      </w:pPr>
    </w:p>
    <w:p w:rsidR="00BF5DC9" w:rsidRDefault="002A5E3F" w:rsidP="001D7598">
      <w:pPr>
        <w:pStyle w:val="Level1"/>
        <w:numPr>
          <w:ilvl w:val="0"/>
          <w:numId w:val="7"/>
        </w:numPr>
        <w:rPr>
          <w:bCs/>
          <w:color w:val="000000"/>
          <w:sz w:val="27"/>
          <w:szCs w:val="27"/>
        </w:rPr>
      </w:pPr>
      <w:r>
        <w:rPr>
          <w:bCs/>
          <w:color w:val="000000"/>
          <w:sz w:val="27"/>
          <w:szCs w:val="27"/>
        </w:rPr>
        <w:t>Scal</w:t>
      </w:r>
      <w:r w:rsidR="00BF5DC9">
        <w:rPr>
          <w:bCs/>
          <w:color w:val="000000"/>
          <w:sz w:val="27"/>
          <w:szCs w:val="27"/>
        </w:rPr>
        <w:t xml:space="preserve">ia theory in </w:t>
      </w:r>
      <w:r>
        <w:rPr>
          <w:bCs/>
          <w:color w:val="000000"/>
          <w:sz w:val="27"/>
          <w:szCs w:val="27"/>
        </w:rPr>
        <w:t>Burnham</w:t>
      </w:r>
    </w:p>
    <w:p w:rsidR="006A7148" w:rsidRDefault="002A5E3F" w:rsidP="002A5E3F">
      <w:pPr>
        <w:pStyle w:val="Level1"/>
        <w:numPr>
          <w:ilvl w:val="1"/>
          <w:numId w:val="7"/>
        </w:numPr>
        <w:rPr>
          <w:bCs/>
          <w:color w:val="000000"/>
          <w:sz w:val="27"/>
          <w:szCs w:val="27"/>
        </w:rPr>
      </w:pPr>
      <w:r>
        <w:rPr>
          <w:bCs/>
          <w:color w:val="000000"/>
          <w:sz w:val="27"/>
          <w:szCs w:val="27"/>
        </w:rPr>
        <w:t xml:space="preserve">Arguably does not satisfy his theory either </w:t>
      </w:r>
    </w:p>
    <w:p w:rsidR="002A5E3F" w:rsidRDefault="002A5E3F" w:rsidP="002A5E3F">
      <w:pPr>
        <w:pStyle w:val="Level1"/>
        <w:numPr>
          <w:ilvl w:val="1"/>
          <w:numId w:val="7"/>
        </w:numPr>
        <w:rPr>
          <w:bCs/>
          <w:color w:val="000000"/>
          <w:sz w:val="27"/>
          <w:szCs w:val="27"/>
        </w:rPr>
      </w:pPr>
      <w:r>
        <w:rPr>
          <w:bCs/>
          <w:color w:val="000000"/>
          <w:sz w:val="27"/>
          <w:szCs w:val="27"/>
        </w:rPr>
        <w:t>– it is true that the denial of a special appearance was permissible at the time of the enactment of the 14</w:t>
      </w:r>
      <w:r w:rsidRPr="002A5E3F">
        <w:rPr>
          <w:bCs/>
          <w:color w:val="000000"/>
          <w:sz w:val="27"/>
          <w:szCs w:val="27"/>
          <w:vertAlign w:val="superscript"/>
        </w:rPr>
        <w:t>th</w:t>
      </w:r>
      <w:r>
        <w:rPr>
          <w:bCs/>
          <w:color w:val="000000"/>
          <w:sz w:val="27"/>
          <w:szCs w:val="27"/>
        </w:rPr>
        <w:t xml:space="preserve"> amendment</w:t>
      </w:r>
    </w:p>
    <w:p w:rsidR="002A5E3F" w:rsidRDefault="002A5E3F" w:rsidP="002A5E3F">
      <w:pPr>
        <w:pStyle w:val="Level1"/>
        <w:numPr>
          <w:ilvl w:val="1"/>
          <w:numId w:val="7"/>
        </w:numPr>
        <w:rPr>
          <w:bCs/>
          <w:color w:val="000000"/>
          <w:sz w:val="27"/>
          <w:szCs w:val="27"/>
        </w:rPr>
      </w:pPr>
      <w:r>
        <w:rPr>
          <w:bCs/>
          <w:color w:val="000000"/>
          <w:sz w:val="27"/>
          <w:szCs w:val="27"/>
        </w:rPr>
        <w:t>But it is not generally accepted today by the states</w:t>
      </w:r>
    </w:p>
    <w:p w:rsidR="002A5E3F" w:rsidRPr="00BF5DC9" w:rsidRDefault="002A5E3F" w:rsidP="002A5E3F">
      <w:pPr>
        <w:pStyle w:val="Level1"/>
        <w:numPr>
          <w:ilvl w:val="1"/>
          <w:numId w:val="7"/>
        </w:numPr>
        <w:rPr>
          <w:bCs/>
          <w:color w:val="000000"/>
          <w:sz w:val="27"/>
          <w:szCs w:val="27"/>
        </w:rPr>
      </w:pPr>
      <w:r>
        <w:rPr>
          <w:bCs/>
          <w:color w:val="000000"/>
          <w:sz w:val="27"/>
          <w:szCs w:val="27"/>
        </w:rPr>
        <w:t>states allow special appearances</w:t>
      </w:r>
    </w:p>
    <w:p w:rsidR="001D7598" w:rsidRPr="00BF5DC9" w:rsidRDefault="001D7598" w:rsidP="00BF5DC9">
      <w:pPr>
        <w:pStyle w:val="Level1"/>
        <w:rPr>
          <w:bCs/>
          <w:color w:val="000000"/>
          <w:sz w:val="27"/>
          <w:szCs w:val="27"/>
        </w:rPr>
      </w:pPr>
    </w:p>
    <w:p w:rsidR="001D7598" w:rsidRDefault="001D7598" w:rsidP="001D7598">
      <w:pPr>
        <w:pStyle w:val="Level1"/>
        <w:rPr>
          <w:b/>
          <w:bCs/>
          <w:color w:val="000000"/>
          <w:sz w:val="27"/>
          <w:szCs w:val="27"/>
        </w:rPr>
      </w:pPr>
    </w:p>
    <w:p w:rsidR="001D7598" w:rsidRDefault="001D7598" w:rsidP="001D7598">
      <w:pPr>
        <w:pStyle w:val="Level1"/>
        <w:tabs>
          <w:tab w:val="left" w:pos="720"/>
        </w:tabs>
        <w:ind w:left="0"/>
      </w:pPr>
    </w:p>
    <w:p w:rsidR="001D7598" w:rsidRDefault="001D7598" w:rsidP="001D7598">
      <w:pPr>
        <w:pStyle w:val="Level1"/>
        <w:tabs>
          <w:tab w:val="left" w:pos="720"/>
        </w:tabs>
        <w:ind w:left="0"/>
      </w:pPr>
    </w:p>
    <w:p w:rsidR="001D7598" w:rsidRDefault="001D7598" w:rsidP="001D7598">
      <w:pPr>
        <w:pStyle w:val="Level1"/>
        <w:tabs>
          <w:tab w:val="left" w:pos="720"/>
        </w:tabs>
        <w:ind w:left="0"/>
      </w:pPr>
      <w:r>
        <w:t>Q. The D Corp (incorporated in Oregon) manufactures thimbles. It engaged in a national search to locate a suitable engineer to work at its only manufacturing plant, located in Medford, Oregon. The search involved a number of advertisements in a trade publication with a national circulation and the use of a company that specializes in recruiting highly trained employees. In the end, the recruitment company located P, who lived in Yreka, California – only 50 miles from Medford, Oregon. In a letter sent from the D Corp’s main office in Medford to P’s home in Yreka, the D Corp offered P a job, which P accepted. P decided to continue living in Yreka and to commute the fifty miles to work. That P continued to live in California was known to the D Corp.</w:t>
      </w:r>
      <w:r>
        <w:br/>
      </w:r>
      <w:r>
        <w:br/>
        <w:t>P got into a serious accident working on a machine at the Oregon factory and decided to sue the D Corp under state-law negligence concerning the design of the machine. P brought his suit in the Federal District Court for the Eastern District of California (which includes the town of Yreka). The D Corp made a motion to dismiss for lack of personal jurisdiction.</w:t>
      </w:r>
      <w:r>
        <w:br/>
      </w:r>
      <w:r>
        <w:br/>
        <w:t xml:space="preserve">The D Corp’s other contacts with the state of California are the following: The D Corp’s thimbles are sold all over the world, including in California, although distribution of the thimbles is through an independent distributing company that takes ownership of them at the D Corp plant in Oregon. The D Corp sells about 100,000 thimbles per year in California (around 33,000 of which are sold in the Eastern District of California). The California sales of its thimbles amount to around $10,000 per year and constitute around 3% of the D Corp’s total yearly production. The D Corp does not advertise its thimbles in California, nor does </w:t>
      </w:r>
      <w:proofErr w:type="spellStart"/>
      <w:r>
        <w:t>it</w:t>
      </w:r>
      <w:proofErr w:type="spellEnd"/>
      <w:r>
        <w:t xml:space="preserve"> own property, maintain an office, or have an agent for service of process there. Should the D Corp’s motion succeed?</w:t>
      </w:r>
    </w:p>
    <w:p w:rsidR="001D7598" w:rsidRDefault="001D7598" w:rsidP="001D7598">
      <w:pPr>
        <w:pStyle w:val="Level1"/>
        <w:tabs>
          <w:tab w:val="left" w:pos="720"/>
        </w:tabs>
        <w:ind w:left="0"/>
      </w:pPr>
    </w:p>
    <w:p w:rsidR="001D7598" w:rsidRDefault="001D7598" w:rsidP="001D7598">
      <w:pPr>
        <w:pStyle w:val="Level1"/>
        <w:tabs>
          <w:tab w:val="left" w:pos="720"/>
        </w:tabs>
        <w:ind w:left="0"/>
      </w:pPr>
      <w:r>
        <w:t xml:space="preserve">-PJ only if a state court in CA would (according to Fed R </w:t>
      </w:r>
      <w:proofErr w:type="spellStart"/>
      <w:r>
        <w:t>Civ</w:t>
      </w:r>
      <w:proofErr w:type="spellEnd"/>
      <w:r>
        <w:t xml:space="preserve"> P 4(k</w:t>
      </w:r>
      <w:proofErr w:type="gramStart"/>
      <w:r>
        <w:t>)(</w:t>
      </w:r>
      <w:proofErr w:type="gramEnd"/>
      <w:r>
        <w:t xml:space="preserve">1)(A) </w:t>
      </w:r>
    </w:p>
    <w:p w:rsidR="001D7598" w:rsidRDefault="001D7598" w:rsidP="001D7598">
      <w:pPr>
        <w:pStyle w:val="Level1"/>
        <w:tabs>
          <w:tab w:val="left" w:pos="720"/>
        </w:tabs>
        <w:ind w:left="0"/>
      </w:pPr>
      <w:r>
        <w:t xml:space="preserve">- CA long-arm statute </w:t>
      </w:r>
      <w:r w:rsidR="002A5E3F">
        <w:t>is up to the limits of due process</w:t>
      </w:r>
    </w:p>
    <w:p w:rsidR="001D7598" w:rsidRDefault="001D7598" w:rsidP="001D7598">
      <w:pPr>
        <w:pStyle w:val="Level1"/>
        <w:tabs>
          <w:tab w:val="left" w:pos="720"/>
        </w:tabs>
        <w:ind w:left="0"/>
      </w:pPr>
    </w:p>
    <w:p w:rsidR="001D7598" w:rsidRDefault="001D7598" w:rsidP="001D7598">
      <w:pPr>
        <w:pStyle w:val="Level1"/>
        <w:tabs>
          <w:tab w:val="left" w:pos="720"/>
        </w:tabs>
        <w:ind w:left="0"/>
      </w:pPr>
      <w:r>
        <w:br/>
        <w:t xml:space="preserve">- </w:t>
      </w:r>
      <w:proofErr w:type="gramStart"/>
      <w:r>
        <w:t>superficial</w:t>
      </w:r>
      <w:proofErr w:type="gramEnd"/>
      <w:r>
        <w:t xml:space="preserve"> resemblance to Asahi, McIntyre stream of commerce cases</w:t>
      </w:r>
    </w:p>
    <w:p w:rsidR="002A5E3F" w:rsidRDefault="002A5E3F" w:rsidP="002A5E3F">
      <w:pPr>
        <w:pStyle w:val="Level1"/>
        <w:numPr>
          <w:ilvl w:val="0"/>
          <w:numId w:val="7"/>
        </w:numPr>
      </w:pPr>
      <w:r>
        <w:t xml:space="preserve">but these </w:t>
      </w:r>
      <w:r w:rsidR="001D7598">
        <w:t xml:space="preserve">stream of commerce cases are </w:t>
      </w:r>
      <w:r w:rsidR="001D7598">
        <w:rPr>
          <w:rStyle w:val="Emphasis"/>
        </w:rPr>
        <w:t xml:space="preserve">specific </w:t>
      </w:r>
      <w:r w:rsidR="001D7598">
        <w:t>jurisdiction cases</w:t>
      </w:r>
    </w:p>
    <w:p w:rsidR="001D7598" w:rsidRDefault="001D7598" w:rsidP="002A5E3F">
      <w:pPr>
        <w:pStyle w:val="Level1"/>
        <w:numPr>
          <w:ilvl w:val="1"/>
          <w:numId w:val="7"/>
        </w:numPr>
      </w:pPr>
      <w:r>
        <w:t xml:space="preserve"> </w:t>
      </w:r>
      <w:proofErr w:type="gramStart"/>
      <w:r>
        <w:t>defendant’s</w:t>
      </w:r>
      <w:proofErr w:type="gramEnd"/>
      <w:r>
        <w:t xml:space="preserve"> product in the forum state </w:t>
      </w:r>
      <w:r w:rsidRPr="002A5E3F">
        <w:rPr>
          <w:rStyle w:val="Emphasis"/>
          <w:u w:val="single"/>
        </w:rPr>
        <w:t>gave rise to the cause of action</w:t>
      </w:r>
      <w:r>
        <w:t xml:space="preserve">. </w:t>
      </w:r>
    </w:p>
    <w:p w:rsidR="001D7598" w:rsidRDefault="002A5E3F" w:rsidP="001D7598">
      <w:pPr>
        <w:pStyle w:val="Level1"/>
        <w:numPr>
          <w:ilvl w:val="0"/>
          <w:numId w:val="7"/>
        </w:numPr>
      </w:pPr>
      <w:r>
        <w:t xml:space="preserve">Here </w:t>
      </w:r>
      <w:r w:rsidR="001D7598">
        <w:t xml:space="preserve">P’s cause of action concerns harm he suffered </w:t>
      </w:r>
      <w:r w:rsidR="001D7598">
        <w:rPr>
          <w:rStyle w:val="Emphasis"/>
          <w:u w:val="single"/>
        </w:rPr>
        <w:t>from a defective machine at the thimble factory in Oregon</w:t>
      </w:r>
    </w:p>
    <w:p w:rsidR="001D7598" w:rsidRDefault="001D7598" w:rsidP="001D7598">
      <w:pPr>
        <w:pStyle w:val="Level1"/>
        <w:numPr>
          <w:ilvl w:val="0"/>
          <w:numId w:val="7"/>
        </w:numPr>
      </w:pPr>
      <w:proofErr w:type="gramStart"/>
      <w:r>
        <w:t>shipments</w:t>
      </w:r>
      <w:proofErr w:type="gramEnd"/>
      <w:r>
        <w:t xml:space="preserve"> of thimbles to CA are relevant insofar as they could give rise to </w:t>
      </w:r>
      <w:r>
        <w:rPr>
          <w:rStyle w:val="Emphasis"/>
        </w:rPr>
        <w:t xml:space="preserve">general </w:t>
      </w:r>
      <w:r>
        <w:t xml:space="preserve">PJ – that is PJ over the D Corp for </w:t>
      </w:r>
      <w:r>
        <w:rPr>
          <w:rStyle w:val="Emphasis"/>
        </w:rPr>
        <w:t xml:space="preserve">any </w:t>
      </w:r>
      <w:r>
        <w:t xml:space="preserve">cause of action, even those </w:t>
      </w:r>
      <w:r>
        <w:rPr>
          <w:rStyle w:val="Emphasis"/>
        </w:rPr>
        <w:t xml:space="preserve">unrelated </w:t>
      </w:r>
      <w:r>
        <w:t xml:space="preserve">to the CA thimble contacts. </w:t>
      </w:r>
    </w:p>
    <w:p w:rsidR="001D7598" w:rsidRDefault="001D7598" w:rsidP="001D7598">
      <w:pPr>
        <w:pStyle w:val="Level1"/>
        <w:numPr>
          <w:ilvl w:val="0"/>
          <w:numId w:val="7"/>
        </w:numPr>
      </w:pPr>
      <w:r>
        <w:t>but</w:t>
      </w:r>
      <w:r w:rsidR="002A5E3F">
        <w:t xml:space="preserve"> that is unlikely given</w:t>
      </w:r>
      <w:r>
        <w:t xml:space="preserve"> Goodyear</w:t>
      </w:r>
    </w:p>
    <w:p w:rsidR="002A5E3F" w:rsidRDefault="002A5E3F" w:rsidP="002A5E3F">
      <w:pPr>
        <w:pStyle w:val="Level1"/>
        <w:numPr>
          <w:ilvl w:val="1"/>
          <w:numId w:val="7"/>
        </w:numPr>
      </w:pPr>
      <w:r>
        <w:t>and Daimler</w:t>
      </w:r>
    </w:p>
    <w:p w:rsidR="001D7598" w:rsidRDefault="002A5E3F" w:rsidP="001D7598">
      <w:pPr>
        <w:pStyle w:val="Level1"/>
        <w:numPr>
          <w:ilvl w:val="1"/>
          <w:numId w:val="7"/>
        </w:numPr>
        <w:tabs>
          <w:tab w:val="left" w:pos="720"/>
        </w:tabs>
      </w:pPr>
      <w:r>
        <w:t xml:space="preserve">even category jurisdiction would </w:t>
      </w:r>
      <w:r w:rsidR="00A73D1F">
        <w:t xml:space="preserve">not </w:t>
      </w:r>
      <w:r>
        <w:t xml:space="preserve">work, because the cause of action does not concern </w:t>
      </w:r>
      <w:r w:rsidR="00A73D1F">
        <w:t>t</w:t>
      </w:r>
      <w:r>
        <w:t>himble</w:t>
      </w:r>
      <w:r w:rsidR="00A73D1F">
        <w:t xml:space="preserve">s </w:t>
      </w:r>
      <w:r>
        <w:t>of the sort that make it a California</w:t>
      </w:r>
    </w:p>
    <w:p w:rsidR="002A5E3F" w:rsidRDefault="002A5E3F" w:rsidP="00A73D1F">
      <w:pPr>
        <w:pStyle w:val="Level1"/>
        <w:numPr>
          <w:ilvl w:val="3"/>
          <w:numId w:val="7"/>
        </w:numPr>
        <w:tabs>
          <w:tab w:val="left" w:pos="720"/>
        </w:tabs>
      </w:pPr>
      <w:r>
        <w:t xml:space="preserve">It concerns a </w:t>
      </w:r>
      <w:r w:rsidR="00A73D1F">
        <w:t>defective</w:t>
      </w:r>
      <w:r>
        <w:t xml:space="preserve"> machine</w:t>
      </w:r>
    </w:p>
    <w:p w:rsidR="002A5E3F" w:rsidRDefault="002A5E3F" w:rsidP="002A5E3F">
      <w:pPr>
        <w:pStyle w:val="Level1"/>
        <w:ind w:left="2160"/>
      </w:pPr>
    </w:p>
    <w:p w:rsidR="001D7598" w:rsidRDefault="001D7598" w:rsidP="001D7598">
      <w:pPr>
        <w:pStyle w:val="Level1"/>
        <w:numPr>
          <w:ilvl w:val="1"/>
          <w:numId w:val="7"/>
        </w:numPr>
        <w:tabs>
          <w:tab w:val="left" w:pos="720"/>
        </w:tabs>
      </w:pPr>
      <w:proofErr w:type="gramStart"/>
      <w:r>
        <w:rPr>
          <w:rStyle w:val="Emphasis"/>
        </w:rPr>
        <w:t>specific</w:t>
      </w:r>
      <w:proofErr w:type="gramEnd"/>
      <w:r>
        <w:rPr>
          <w:rStyle w:val="Emphasis"/>
        </w:rPr>
        <w:t xml:space="preserve"> </w:t>
      </w:r>
      <w:r w:rsidR="002A5E3F">
        <w:t>jurisdiction?</w:t>
      </w:r>
    </w:p>
    <w:p w:rsidR="002A5E3F" w:rsidRDefault="002A5E3F" w:rsidP="002A5E3F">
      <w:pPr>
        <w:pStyle w:val="Level1"/>
        <w:numPr>
          <w:ilvl w:val="2"/>
          <w:numId w:val="7"/>
        </w:numPr>
        <w:tabs>
          <w:tab w:val="left" w:pos="720"/>
        </w:tabs>
      </w:pPr>
      <w:r>
        <w:t xml:space="preserve">How did </w:t>
      </w:r>
      <w:r w:rsidR="001D7598">
        <w:t xml:space="preserve">D Corp’s </w:t>
      </w:r>
      <w:r>
        <w:t>reach</w:t>
      </w:r>
      <w:r w:rsidR="001D7598">
        <w:t xml:space="preserve"> out to California</w:t>
      </w:r>
      <w:r>
        <w:t xml:space="preserve"> </w:t>
      </w:r>
      <w:r w:rsidR="001D7598">
        <w:t>when looking for someone</w:t>
      </w:r>
      <w:r>
        <w:t xml:space="preserve"> to fill the engineer position?</w:t>
      </w:r>
    </w:p>
    <w:p w:rsidR="001D7598" w:rsidRDefault="001D7598" w:rsidP="002A5E3F">
      <w:pPr>
        <w:pStyle w:val="Level1"/>
        <w:numPr>
          <w:ilvl w:val="3"/>
          <w:numId w:val="7"/>
        </w:numPr>
        <w:tabs>
          <w:tab w:val="left" w:pos="720"/>
        </w:tabs>
      </w:pPr>
      <w:proofErr w:type="gramStart"/>
      <w:r>
        <w:t>by</w:t>
      </w:r>
      <w:proofErr w:type="gramEnd"/>
      <w:r>
        <w:t xml:space="preserve"> advertising for position in CA (although P did not, it seems, ever read the ads) and, more importantly, by hiring a recruiting company that ultimately contacted P in CA. Another contact is the D Corp’s sending the offer letter to CA</w:t>
      </w:r>
      <w:proofErr w:type="gramStart"/>
      <w:r>
        <w:t>.</w:t>
      </w:r>
      <w:proofErr w:type="gramEnd"/>
      <w:r>
        <w:br/>
        <w:t xml:space="preserve">- some connection with the cause of action, because they are related to P and his employment at the D Corp. </w:t>
      </w:r>
    </w:p>
    <w:p w:rsidR="001D7598" w:rsidRDefault="001D7598" w:rsidP="001D7598">
      <w:pPr>
        <w:pStyle w:val="Level1"/>
        <w:numPr>
          <w:ilvl w:val="2"/>
          <w:numId w:val="7"/>
        </w:numPr>
        <w:tabs>
          <w:tab w:val="left" w:pos="720"/>
        </w:tabs>
      </w:pPr>
      <w:r>
        <w:t xml:space="preserve">But not a case like McGee, where the letter sent to the state was the very contract being sued upon. P is not suing concerning his employment contract – he is suing </w:t>
      </w:r>
      <w:r w:rsidR="00A73D1F">
        <w:t>under tort</w:t>
      </w:r>
      <w:r>
        <w:t xml:space="preserve"> concerning </w:t>
      </w:r>
      <w:r w:rsidR="002A5E3F">
        <w:t>the</w:t>
      </w:r>
      <w:r>
        <w:t xml:space="preserve"> machine at the thimble plant in Oregon.</w:t>
      </w:r>
    </w:p>
    <w:p w:rsidR="001D7598" w:rsidRDefault="002A5E3F" w:rsidP="002A5E3F">
      <w:pPr>
        <w:pStyle w:val="Level1"/>
        <w:numPr>
          <w:ilvl w:val="2"/>
          <w:numId w:val="7"/>
        </w:numPr>
        <w:tabs>
          <w:tab w:val="left" w:pos="720"/>
        </w:tabs>
      </w:pPr>
      <w:proofErr w:type="gramStart"/>
      <w:r>
        <w:rPr>
          <w:rStyle w:val="Emphasis"/>
          <w:i w:val="0"/>
        </w:rPr>
        <w:t>one</w:t>
      </w:r>
      <w:proofErr w:type="gramEnd"/>
      <w:r>
        <w:rPr>
          <w:rStyle w:val="Emphasis"/>
          <w:i w:val="0"/>
        </w:rPr>
        <w:t xml:space="preserve"> might say </w:t>
      </w:r>
      <w:r w:rsidR="001D7598">
        <w:rPr>
          <w:rStyle w:val="Emphasis"/>
        </w:rPr>
        <w:t>but for</w:t>
      </w:r>
      <w:r w:rsidR="001D7598">
        <w:t xml:space="preserve"> the hiring of the recruiting firm and the sending of the offer letter, P would not have taken the job and so would not have gotten into the accident in Oregon. </w:t>
      </w:r>
    </w:p>
    <w:p w:rsidR="0023476F" w:rsidRDefault="002A5E3F" w:rsidP="002A1838">
      <w:pPr>
        <w:pStyle w:val="Level1"/>
        <w:numPr>
          <w:ilvl w:val="3"/>
          <w:numId w:val="7"/>
        </w:numPr>
        <w:tabs>
          <w:tab w:val="left" w:pos="720"/>
        </w:tabs>
      </w:pPr>
      <w:r>
        <w:t>but this is a difficult argument</w:t>
      </w:r>
      <w:bookmarkStart w:id="0" w:name="_GoBack"/>
      <w:bookmarkEnd w:id="0"/>
    </w:p>
    <w:sectPr w:rsidR="0023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3E8C"/>
    <w:multiLevelType w:val="hybridMultilevel"/>
    <w:tmpl w:val="7734AA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287ED7"/>
    <w:multiLevelType w:val="hybridMultilevel"/>
    <w:tmpl w:val="AB76840A"/>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E4545"/>
    <w:multiLevelType w:val="hybridMultilevel"/>
    <w:tmpl w:val="23E20F32"/>
    <w:lvl w:ilvl="0" w:tplc="B998B1A8">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650E8A"/>
    <w:multiLevelType w:val="hybridMultilevel"/>
    <w:tmpl w:val="01D255E0"/>
    <w:lvl w:ilvl="0" w:tplc="6E566A7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E47103"/>
    <w:multiLevelType w:val="hybridMultilevel"/>
    <w:tmpl w:val="4BD0D59A"/>
    <w:lvl w:ilvl="0" w:tplc="04090011">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38205CF5"/>
    <w:multiLevelType w:val="multilevel"/>
    <w:tmpl w:val="DCA8CD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FC544A"/>
    <w:multiLevelType w:val="hybridMultilevel"/>
    <w:tmpl w:val="3A7AD2C8"/>
    <w:lvl w:ilvl="0" w:tplc="16F077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F1"/>
    <w:rsid w:val="00170D5F"/>
    <w:rsid w:val="001D7598"/>
    <w:rsid w:val="002132D9"/>
    <w:rsid w:val="0023476F"/>
    <w:rsid w:val="002A1838"/>
    <w:rsid w:val="002A5E3F"/>
    <w:rsid w:val="00451231"/>
    <w:rsid w:val="005E76FB"/>
    <w:rsid w:val="00670326"/>
    <w:rsid w:val="006A7148"/>
    <w:rsid w:val="00A3307C"/>
    <w:rsid w:val="00A439F1"/>
    <w:rsid w:val="00A73D1F"/>
    <w:rsid w:val="00BC619B"/>
    <w:rsid w:val="00BF5DC9"/>
    <w:rsid w:val="00D87D5D"/>
    <w:rsid w:val="00DA1FCC"/>
    <w:rsid w:val="00E6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4058-8043-4FFE-93EB-CD7517F2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F1"/>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F1"/>
    <w:pPr>
      <w:ind w:left="720"/>
      <w:contextualSpacing/>
    </w:pPr>
  </w:style>
  <w:style w:type="character" w:customStyle="1" w:styleId="apple-converted-space">
    <w:name w:val="apple-converted-space"/>
    <w:basedOn w:val="DefaultParagraphFont"/>
    <w:rsid w:val="00A439F1"/>
  </w:style>
  <w:style w:type="paragraph" w:styleId="NormalWeb">
    <w:name w:val="Normal (Web)"/>
    <w:basedOn w:val="Normal"/>
    <w:uiPriority w:val="99"/>
    <w:rsid w:val="00A439F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D7598"/>
    <w:rPr>
      <w:i/>
      <w:iCs/>
    </w:rPr>
  </w:style>
  <w:style w:type="paragraph" w:customStyle="1" w:styleId="Level1">
    <w:name w:val="Level 1"/>
    <w:rsid w:val="001D7598"/>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apple-style-span">
    <w:name w:val="apple-style-span"/>
    <w:rsid w:val="001D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8</cp:revision>
  <dcterms:created xsi:type="dcterms:W3CDTF">2014-10-09T12:53:00Z</dcterms:created>
  <dcterms:modified xsi:type="dcterms:W3CDTF">2014-10-09T14:23:00Z</dcterms:modified>
</cp:coreProperties>
</file>