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708" w:rsidRDefault="00563708" w:rsidP="00563708">
      <w:pPr>
        <w:rPr>
          <w:lang w:val="en-CA"/>
        </w:rPr>
      </w:pPr>
      <w:r>
        <w:rPr>
          <w:lang w:val="en-CA"/>
        </w:rPr>
        <w:t>Lect 15</w:t>
      </w:r>
    </w:p>
    <w:p w:rsidR="009C5B50" w:rsidRDefault="009C5B50" w:rsidP="009C5B50">
      <w:pPr>
        <w:rPr>
          <w:bCs/>
        </w:rPr>
      </w:pPr>
    </w:p>
    <w:p w:rsidR="009C5B50" w:rsidRDefault="00E7031C" w:rsidP="009C5B50">
      <w:pPr>
        <w:pStyle w:val="ListParagraph"/>
        <w:numPr>
          <w:ilvl w:val="0"/>
          <w:numId w:val="8"/>
        </w:numPr>
      </w:pPr>
      <w:r>
        <w:t>PJ over corps</w:t>
      </w:r>
      <w:r w:rsidR="00813632">
        <w:t xml:space="preserve"> under </w:t>
      </w:r>
      <w:proofErr w:type="spellStart"/>
      <w:r w:rsidR="00813632">
        <w:t>Pennoyer</w:t>
      </w:r>
      <w:proofErr w:type="spellEnd"/>
      <w:r w:rsidR="00813632">
        <w:t xml:space="preserve"> framework</w:t>
      </w:r>
    </w:p>
    <w:p w:rsidR="00813632" w:rsidRDefault="00813632" w:rsidP="009C5B50">
      <w:pPr>
        <w:pStyle w:val="ListParagraph"/>
        <w:numPr>
          <w:ilvl w:val="0"/>
          <w:numId w:val="8"/>
        </w:numPr>
      </w:pPr>
      <w:r w:rsidRPr="00813632">
        <w:t xml:space="preserve">Two methods </w:t>
      </w:r>
    </w:p>
    <w:p w:rsidR="00813632" w:rsidRDefault="00813632" w:rsidP="009C5B50">
      <w:pPr>
        <w:pStyle w:val="ListParagraph"/>
        <w:numPr>
          <w:ilvl w:val="0"/>
          <w:numId w:val="8"/>
        </w:numPr>
      </w:pPr>
      <w:r w:rsidRPr="00813632">
        <w:t xml:space="preserve">1) state passes statute to create legal fiction of in-state agent for service of process due to </w:t>
      </w:r>
      <w:proofErr w:type="spellStart"/>
      <w:r w:rsidRPr="00813632">
        <w:t>corp</w:t>
      </w:r>
      <w:proofErr w:type="spellEnd"/>
      <w:r w:rsidRPr="00813632">
        <w:t xml:space="preserve"> doing business in state</w:t>
      </w:r>
      <w:r w:rsidRPr="00813632">
        <w:br/>
        <w:t>2) corporate “presence”</w:t>
      </w:r>
    </w:p>
    <w:p w:rsidR="00172AEE" w:rsidRDefault="00172AEE" w:rsidP="00E7031C">
      <w:pPr>
        <w:pStyle w:val="ListParagraph"/>
      </w:pPr>
    </w:p>
    <w:p w:rsidR="009C5B50" w:rsidRDefault="009C5B50" w:rsidP="009C5B50">
      <w:pPr>
        <w:rPr>
          <w:lang w:val="en-CA"/>
        </w:rPr>
      </w:pPr>
      <w:r>
        <w:rPr>
          <w:lang w:val="en-CA"/>
        </w:rPr>
        <w:fldChar w:fldCharType="begin"/>
      </w:r>
      <w:r>
        <w:rPr>
          <w:lang w:val="en-CA"/>
        </w:rPr>
        <w:instrText xml:space="preserve"> SEQ CHAPTER \h \r 1</w:instrText>
      </w:r>
      <w:r>
        <w:rPr>
          <w:lang w:val="en-CA"/>
        </w:rPr>
        <w:fldChar w:fldCharType="end"/>
      </w:r>
      <w:r>
        <w:rPr>
          <w:b/>
          <w:bCs/>
          <w:lang w:val="en-CA"/>
        </w:rPr>
        <w:t>Int’l Shoe</w:t>
      </w:r>
    </w:p>
    <w:p w:rsidR="009C5B50" w:rsidRDefault="009C5B50" w:rsidP="009C5B50">
      <w:pPr>
        <w:rPr>
          <w:lang w:val="en-CA"/>
        </w:rPr>
      </w:pPr>
      <w:r>
        <w:rPr>
          <w:lang w:val="en-CA"/>
        </w:rPr>
        <w:t>What were Int’l Shoe’s activities in Washington?</w:t>
      </w:r>
    </w:p>
    <w:p w:rsidR="009C5B50" w:rsidRDefault="009C5B50" w:rsidP="009C5B50">
      <w:pPr>
        <w:rPr>
          <w:lang w:val="en-CA"/>
        </w:rPr>
      </w:pPr>
      <w:r>
        <w:rPr>
          <w:lang w:val="en-CA"/>
        </w:rPr>
        <w:tab/>
        <w:t>- 13 sales agents there</w:t>
      </w:r>
    </w:p>
    <w:p w:rsidR="009C5B50" w:rsidRDefault="009C5B50" w:rsidP="009C5B50">
      <w:pPr>
        <w:rPr>
          <w:lang w:val="en-CA"/>
        </w:rPr>
      </w:pPr>
      <w:r>
        <w:rPr>
          <w:lang w:val="en-CA"/>
        </w:rPr>
        <w:tab/>
        <w:t xml:space="preserve">- solicited orders, but transmitted them to </w:t>
      </w:r>
      <w:proofErr w:type="spellStart"/>
      <w:r>
        <w:rPr>
          <w:lang w:val="en-CA"/>
        </w:rPr>
        <w:t>corp</w:t>
      </w:r>
      <w:proofErr w:type="spellEnd"/>
      <w:r>
        <w:rPr>
          <w:lang w:val="en-CA"/>
        </w:rPr>
        <w:t>, which sealed deal</w:t>
      </w:r>
    </w:p>
    <w:p w:rsidR="009C5B50" w:rsidRDefault="009C5B50" w:rsidP="009C5B50">
      <w:pPr>
        <w:rPr>
          <w:lang w:val="en-CA"/>
        </w:rPr>
      </w:pPr>
      <w:r>
        <w:rPr>
          <w:lang w:val="en-CA"/>
        </w:rPr>
        <w:tab/>
        <w:t>- rented rooms for displays</w:t>
      </w:r>
    </w:p>
    <w:p w:rsidR="009C5B50" w:rsidRDefault="009C5B50" w:rsidP="009C5B50">
      <w:pPr>
        <w:rPr>
          <w:lang w:val="en-CA"/>
        </w:rPr>
      </w:pPr>
      <w:r>
        <w:rPr>
          <w:lang w:val="en-CA"/>
        </w:rPr>
        <w:tab/>
        <w:t>- no office</w:t>
      </w:r>
    </w:p>
    <w:p w:rsidR="00813632" w:rsidRDefault="00172AEE" w:rsidP="009C5B50">
      <w:pPr>
        <w:rPr>
          <w:lang w:val="en-CA"/>
        </w:rPr>
      </w:pPr>
      <w:r>
        <w:rPr>
          <w:lang w:val="en-CA"/>
        </w:rPr>
        <w:t xml:space="preserve">- </w:t>
      </w:r>
      <w:r w:rsidR="00813632">
        <w:rPr>
          <w:lang w:val="en-CA"/>
        </w:rPr>
        <w:t xml:space="preserve">is this enough to be considered presence under </w:t>
      </w:r>
      <w:proofErr w:type="spellStart"/>
      <w:r w:rsidR="00813632">
        <w:rPr>
          <w:lang w:val="en-CA"/>
        </w:rPr>
        <w:t>Pennoyer</w:t>
      </w:r>
      <w:proofErr w:type="spellEnd"/>
      <w:r w:rsidR="00813632">
        <w:rPr>
          <w:lang w:val="en-CA"/>
        </w:rPr>
        <w:t xml:space="preserve"> framework?</w:t>
      </w:r>
    </w:p>
    <w:p w:rsidR="00813632" w:rsidRDefault="00813632" w:rsidP="009C5B50">
      <w:pPr>
        <w:rPr>
          <w:lang w:val="en-CA"/>
        </w:rPr>
      </w:pPr>
      <w:r>
        <w:rPr>
          <w:lang w:val="en-CA"/>
        </w:rPr>
        <w:tab/>
        <w:t xml:space="preserve">- </w:t>
      </w:r>
      <w:proofErr w:type="gramStart"/>
      <w:r>
        <w:rPr>
          <w:lang w:val="en-CA"/>
        </w:rPr>
        <w:t>it</w:t>
      </w:r>
      <w:proofErr w:type="gramEnd"/>
      <w:r>
        <w:rPr>
          <w:lang w:val="en-CA"/>
        </w:rPr>
        <w:t xml:space="preserve"> depends</w:t>
      </w:r>
    </w:p>
    <w:p w:rsidR="00813632" w:rsidRDefault="00813632" w:rsidP="009C5B50">
      <w:pPr>
        <w:rPr>
          <w:lang w:val="en-CA"/>
        </w:rPr>
      </w:pPr>
      <w:r>
        <w:rPr>
          <w:lang w:val="en-CA"/>
        </w:rPr>
        <w:tab/>
        <w:t xml:space="preserve">- </w:t>
      </w:r>
      <w:proofErr w:type="gramStart"/>
      <w:r>
        <w:rPr>
          <w:lang w:val="en-CA"/>
        </w:rPr>
        <w:t>if</w:t>
      </w:r>
      <w:proofErr w:type="gramEnd"/>
      <w:r>
        <w:rPr>
          <w:lang w:val="en-CA"/>
        </w:rPr>
        <w:t xml:space="preserve"> one is really thinking about whether Intl Shoe can be sued on any cause of action, </w:t>
      </w:r>
      <w:r w:rsidR="00A4142E">
        <w:rPr>
          <w:lang w:val="en-CA"/>
        </w:rPr>
        <w:t>probably</w:t>
      </w:r>
      <w:r>
        <w:rPr>
          <w:lang w:val="en-CA"/>
        </w:rPr>
        <w:t xml:space="preserve"> not</w:t>
      </w:r>
    </w:p>
    <w:p w:rsidR="00813632" w:rsidRDefault="00813632" w:rsidP="009C5B50">
      <w:pPr>
        <w:rPr>
          <w:lang w:val="en-CA"/>
        </w:rPr>
      </w:pPr>
      <w:r>
        <w:rPr>
          <w:lang w:val="en-CA"/>
        </w:rPr>
        <w:tab/>
        <w:t xml:space="preserve">- if so, then the case really does turn out differently under the Int’l Shoe theory than it did under the </w:t>
      </w:r>
      <w:proofErr w:type="spellStart"/>
      <w:r>
        <w:rPr>
          <w:lang w:val="en-CA"/>
        </w:rPr>
        <w:t>Pennoyer</w:t>
      </w:r>
      <w:proofErr w:type="spellEnd"/>
      <w:r>
        <w:rPr>
          <w:lang w:val="en-CA"/>
        </w:rPr>
        <w:t xml:space="preserve"> theory</w:t>
      </w:r>
      <w:r w:rsidR="00A4142E">
        <w:rPr>
          <w:lang w:val="en-CA"/>
        </w:rPr>
        <w:t xml:space="preserve"> – since one needs specific PJ to get PJ over Int’l Shoe </w:t>
      </w:r>
    </w:p>
    <w:p w:rsidR="00813632" w:rsidRDefault="00813632" w:rsidP="009C5B50">
      <w:pPr>
        <w:rPr>
          <w:lang w:val="en-CA"/>
        </w:rPr>
      </w:pPr>
      <w:r>
        <w:rPr>
          <w:lang w:val="en-CA"/>
        </w:rPr>
        <w:tab/>
        <w:t xml:space="preserve">- that said, lower courts were already in the habit of determining </w:t>
      </w:r>
      <w:r w:rsidR="00A4142E">
        <w:rPr>
          <w:lang w:val="en-CA"/>
        </w:rPr>
        <w:t xml:space="preserve">corporate “presence” </w:t>
      </w:r>
      <w:r>
        <w:rPr>
          <w:lang w:val="en-CA"/>
        </w:rPr>
        <w:t>with the nature of the cause of action in mind</w:t>
      </w:r>
    </w:p>
    <w:p w:rsidR="00A4142E" w:rsidRDefault="00A4142E" w:rsidP="009C5B50">
      <w:pPr>
        <w:rPr>
          <w:lang w:val="en-CA"/>
        </w:rPr>
      </w:pPr>
      <w:r>
        <w:rPr>
          <w:lang w:val="en-CA"/>
        </w:rPr>
        <w:tab/>
        <w:t xml:space="preserve">- </w:t>
      </w:r>
      <w:proofErr w:type="gramStart"/>
      <w:r>
        <w:rPr>
          <w:lang w:val="en-CA"/>
        </w:rPr>
        <w:t>more</w:t>
      </w:r>
      <w:proofErr w:type="gramEnd"/>
      <w:r>
        <w:rPr>
          <w:lang w:val="en-CA"/>
        </w:rPr>
        <w:t xml:space="preserve"> likely to find </w:t>
      </w:r>
      <w:proofErr w:type="spellStart"/>
      <w:r>
        <w:rPr>
          <w:lang w:val="en-CA"/>
        </w:rPr>
        <w:t>corp</w:t>
      </w:r>
      <w:proofErr w:type="spellEnd"/>
      <w:r>
        <w:rPr>
          <w:lang w:val="en-CA"/>
        </w:rPr>
        <w:t xml:space="preserve"> present if the cause of action was about in-state activities of the </w:t>
      </w:r>
      <w:proofErr w:type="spellStart"/>
      <w:r>
        <w:rPr>
          <w:lang w:val="en-CA"/>
        </w:rPr>
        <w:t>corp</w:t>
      </w:r>
      <w:proofErr w:type="spellEnd"/>
    </w:p>
    <w:p w:rsidR="00813632" w:rsidRDefault="00462979" w:rsidP="009C5B50">
      <w:pPr>
        <w:rPr>
          <w:lang w:val="en-CA"/>
        </w:rPr>
      </w:pPr>
      <w:r>
        <w:rPr>
          <w:lang w:val="en-CA"/>
        </w:rPr>
        <w:tab/>
      </w:r>
      <w:r w:rsidR="00A4142E">
        <w:rPr>
          <w:lang w:val="en-CA"/>
        </w:rPr>
        <w:t xml:space="preserve">- </w:t>
      </w:r>
      <w:proofErr w:type="gramStart"/>
      <w:r w:rsidR="00A4142E">
        <w:rPr>
          <w:lang w:val="en-CA"/>
        </w:rPr>
        <w:t>so</w:t>
      </w:r>
      <w:proofErr w:type="gramEnd"/>
      <w:r w:rsidR="00A4142E">
        <w:rPr>
          <w:lang w:val="en-CA"/>
        </w:rPr>
        <w:t xml:space="preserve"> </w:t>
      </w:r>
      <w:r w:rsidR="00813632">
        <w:rPr>
          <w:lang w:val="en-CA"/>
        </w:rPr>
        <w:t>very likely that even w/o the changes in Int’l Shoe, a court would have found PJ</w:t>
      </w:r>
    </w:p>
    <w:p w:rsidR="00813632" w:rsidRDefault="00813632" w:rsidP="009C5B50">
      <w:pPr>
        <w:rPr>
          <w:lang w:val="en-CA"/>
        </w:rPr>
      </w:pPr>
    </w:p>
    <w:p w:rsidR="00813632" w:rsidRDefault="00813632" w:rsidP="009C5B50">
      <w:pPr>
        <w:rPr>
          <w:lang w:val="en-CA"/>
        </w:rPr>
      </w:pPr>
      <w:r>
        <w:rPr>
          <w:lang w:val="en-CA"/>
        </w:rPr>
        <w:t xml:space="preserve">What is most important in Int’l Shoe is the creation of </w:t>
      </w:r>
      <w:r w:rsidR="00A4142E">
        <w:rPr>
          <w:lang w:val="en-CA"/>
        </w:rPr>
        <w:t>a new</w:t>
      </w:r>
      <w:r>
        <w:rPr>
          <w:lang w:val="en-CA"/>
        </w:rPr>
        <w:t xml:space="preserve"> </w:t>
      </w:r>
      <w:r w:rsidR="00A4142E">
        <w:rPr>
          <w:lang w:val="en-CA"/>
        </w:rPr>
        <w:t>theory</w:t>
      </w:r>
      <w:r>
        <w:rPr>
          <w:lang w:val="en-CA"/>
        </w:rPr>
        <w:t xml:space="preserve"> of PJ</w:t>
      </w:r>
    </w:p>
    <w:p w:rsidR="002533BA" w:rsidRDefault="002533BA" w:rsidP="00A4142E">
      <w:pPr>
        <w:pStyle w:val="ListParagraph"/>
        <w:rPr>
          <w:rFonts w:cs="Arial"/>
        </w:rPr>
      </w:pPr>
      <w:proofErr w:type="gramStart"/>
      <w:r>
        <w:rPr>
          <w:rFonts w:cs="Arial"/>
        </w:rPr>
        <w:t>quid</w:t>
      </w:r>
      <w:proofErr w:type="gramEnd"/>
      <w:r>
        <w:rPr>
          <w:rFonts w:cs="Arial"/>
        </w:rPr>
        <w:t xml:space="preserve"> pro quo</w:t>
      </w:r>
      <w:r w:rsidR="00A4142E">
        <w:rPr>
          <w:rFonts w:cs="Arial"/>
        </w:rPr>
        <w:t>, not about being able to grab what is in forum state</w:t>
      </w:r>
    </w:p>
    <w:p w:rsidR="009C5B50" w:rsidRDefault="009C5B50" w:rsidP="002533BA">
      <w:pPr>
        <w:pStyle w:val="ListParagraph"/>
        <w:rPr>
          <w:rFonts w:cs="Arial"/>
        </w:rPr>
      </w:pPr>
      <w:r w:rsidRPr="00813632">
        <w:rPr>
          <w:rFonts w:cs="Arial"/>
        </w:rPr>
        <w:t xml:space="preserve">But to the extent that a corporation exercises the privilege of conducting activities within a state, it enjoys the benefits and protection of the laws of that state. The exercise of that privilege may give rise to obligations; and, so far as those obligations arise out of or are </w:t>
      </w:r>
      <w:r w:rsidRPr="00813632">
        <w:rPr>
          <w:rFonts w:cs="Arial"/>
        </w:rPr>
        <w:lastRenderedPageBreak/>
        <w:t>connected with the activities within the state, a procedure which requires the corporation to respond to a suit brought to enforce them can, in most instances, hardly be said to be undue</w:t>
      </w:r>
    </w:p>
    <w:p w:rsidR="00A4142E" w:rsidRDefault="00A4142E" w:rsidP="002533BA">
      <w:pPr>
        <w:pStyle w:val="ListParagraph"/>
        <w:rPr>
          <w:rFonts w:cs="Arial"/>
        </w:rPr>
      </w:pPr>
    </w:p>
    <w:p w:rsidR="00A4142E" w:rsidRDefault="00A4142E" w:rsidP="00A4142E">
      <w:pPr>
        <w:pStyle w:val="ListParagraph"/>
        <w:rPr>
          <w:rFonts w:cs="Arial"/>
        </w:rPr>
      </w:pPr>
      <w:r>
        <w:rPr>
          <w:rFonts w:cs="Arial"/>
        </w:rPr>
        <w:t xml:space="preserve">Court also mentions </w:t>
      </w:r>
      <w:r w:rsidRPr="00A4142E">
        <w:rPr>
          <w:rFonts w:cs="Arial"/>
          <w:i/>
        </w:rPr>
        <w:t>r</w:t>
      </w:r>
      <w:r w:rsidRPr="00A4142E">
        <w:rPr>
          <w:rFonts w:cs="Arial"/>
          <w:i/>
        </w:rPr>
        <w:t>easonableness</w:t>
      </w:r>
      <w:r>
        <w:rPr>
          <w:rFonts w:cs="Arial"/>
        </w:rPr>
        <w:t xml:space="preserve"> of PJ on the basis of inconvenience etc. We shall examine the role of this idea later – it does not consider how the D has reached out to the forum state, but only the extent to which it is burdensome on the D to go to the forum state, burdensome on the P to go to the D’s home, where the witnesses are etc.</w:t>
      </w:r>
    </w:p>
    <w:p w:rsidR="00A4142E" w:rsidRPr="00813632" w:rsidRDefault="00A4142E" w:rsidP="002533BA">
      <w:pPr>
        <w:pStyle w:val="ListParagraph"/>
        <w:rPr>
          <w:rFonts w:cs="Arial"/>
        </w:rPr>
      </w:pPr>
    </w:p>
    <w:p w:rsidR="002533BA" w:rsidRDefault="002533BA" w:rsidP="002533BA">
      <w:pPr>
        <w:spacing w:after="0" w:line="240" w:lineRule="auto"/>
        <w:ind w:left="720"/>
        <w:rPr>
          <w:lang w:val="en-CA"/>
        </w:rPr>
      </w:pPr>
      <w:r>
        <w:rPr>
          <w:lang w:val="en-CA"/>
        </w:rPr>
        <w:t xml:space="preserve">The court then reinterprets past cases under the </w:t>
      </w:r>
      <w:proofErr w:type="spellStart"/>
      <w:r>
        <w:rPr>
          <w:lang w:val="en-CA"/>
        </w:rPr>
        <w:t>Pennoyer</w:t>
      </w:r>
      <w:proofErr w:type="spellEnd"/>
      <w:r>
        <w:rPr>
          <w:lang w:val="en-CA"/>
        </w:rPr>
        <w:t xml:space="preserve"> framework in the light of </w:t>
      </w:r>
      <w:r w:rsidR="00A4142E">
        <w:rPr>
          <w:lang w:val="en-CA"/>
        </w:rPr>
        <w:t xml:space="preserve">the new theory of </w:t>
      </w:r>
      <w:r>
        <w:rPr>
          <w:lang w:val="en-CA"/>
        </w:rPr>
        <w:t>minimum contacts</w:t>
      </w:r>
    </w:p>
    <w:p w:rsidR="002533BA" w:rsidRDefault="002533BA" w:rsidP="002533BA">
      <w:pPr>
        <w:spacing w:after="0" w:line="240" w:lineRule="auto"/>
        <w:rPr>
          <w:lang w:val="en-CA"/>
        </w:rPr>
      </w:pPr>
    </w:p>
    <w:p w:rsidR="009C5B50" w:rsidRPr="006D1194" w:rsidRDefault="009C5B50" w:rsidP="009C5B50">
      <w:pPr>
        <w:numPr>
          <w:ilvl w:val="0"/>
          <w:numId w:val="5"/>
        </w:numPr>
        <w:spacing w:after="0" w:line="240" w:lineRule="auto"/>
        <w:rPr>
          <w:lang w:val="en-CA"/>
        </w:rPr>
      </w:pPr>
      <w:r w:rsidRPr="006D1194">
        <w:rPr>
          <w:lang w:val="en-CA"/>
        </w:rPr>
        <w:t>Activities are continuous and systematic &amp; give rise to liabilities sued upon</w:t>
      </w:r>
    </w:p>
    <w:p w:rsidR="009C5B50" w:rsidRPr="006D1194" w:rsidRDefault="009C5B50" w:rsidP="009C5B50">
      <w:pPr>
        <w:numPr>
          <w:ilvl w:val="1"/>
          <w:numId w:val="5"/>
        </w:numPr>
        <w:spacing w:after="0" w:line="240" w:lineRule="auto"/>
        <w:rPr>
          <w:lang w:val="en-CA"/>
        </w:rPr>
      </w:pPr>
      <w:r w:rsidRPr="006D1194">
        <w:rPr>
          <w:lang w:val="en-CA"/>
        </w:rPr>
        <w:t>Personal Jurisdiction</w:t>
      </w:r>
    </w:p>
    <w:p w:rsidR="009C5B50" w:rsidRPr="006D1194" w:rsidRDefault="009C5B50" w:rsidP="009C5B50">
      <w:pPr>
        <w:numPr>
          <w:ilvl w:val="0"/>
          <w:numId w:val="5"/>
        </w:numPr>
        <w:spacing w:after="0" w:line="240" w:lineRule="auto"/>
        <w:rPr>
          <w:lang w:val="en-CA"/>
        </w:rPr>
      </w:pPr>
      <w:r w:rsidRPr="006D1194">
        <w:rPr>
          <w:lang w:val="en-CA"/>
        </w:rPr>
        <w:t>Casual presence, single isolated activities &amp; suit unconnected with activities in state</w:t>
      </w:r>
    </w:p>
    <w:p w:rsidR="009C5B50" w:rsidRPr="006D1194" w:rsidRDefault="009C5B50" w:rsidP="009C5B50">
      <w:pPr>
        <w:numPr>
          <w:ilvl w:val="1"/>
          <w:numId w:val="5"/>
        </w:numPr>
        <w:spacing w:after="0" w:line="240" w:lineRule="auto"/>
        <w:rPr>
          <w:lang w:val="en-CA"/>
        </w:rPr>
      </w:pPr>
      <w:r w:rsidRPr="006D1194">
        <w:rPr>
          <w:lang w:val="en-CA"/>
        </w:rPr>
        <w:t>No Personal Jurisdiction</w:t>
      </w:r>
    </w:p>
    <w:p w:rsidR="009C5B50" w:rsidRPr="006D1194" w:rsidRDefault="009C5B50" w:rsidP="009C5B50">
      <w:pPr>
        <w:numPr>
          <w:ilvl w:val="0"/>
          <w:numId w:val="5"/>
        </w:numPr>
        <w:spacing w:after="0" w:line="240" w:lineRule="auto"/>
        <w:rPr>
          <w:lang w:val="en-CA"/>
        </w:rPr>
      </w:pPr>
      <w:r w:rsidRPr="006D1194">
        <w:rPr>
          <w:lang w:val="en-CA"/>
        </w:rPr>
        <w:t>Substantial continuous activity &amp; suit concerns activities entirely distinct from those in the state</w:t>
      </w:r>
    </w:p>
    <w:p w:rsidR="009C5B50" w:rsidRPr="006D1194" w:rsidRDefault="009C5B50" w:rsidP="009C5B50">
      <w:pPr>
        <w:numPr>
          <w:ilvl w:val="1"/>
          <w:numId w:val="5"/>
        </w:numPr>
        <w:spacing w:after="0" w:line="240" w:lineRule="auto"/>
        <w:rPr>
          <w:lang w:val="en-CA"/>
        </w:rPr>
      </w:pPr>
      <w:r w:rsidRPr="006D1194">
        <w:rPr>
          <w:lang w:val="en-CA"/>
        </w:rPr>
        <w:t>Personal Jurisdiction</w:t>
      </w:r>
    </w:p>
    <w:p w:rsidR="009C5B50" w:rsidRPr="006D1194" w:rsidRDefault="009C5B50" w:rsidP="009C5B50">
      <w:pPr>
        <w:numPr>
          <w:ilvl w:val="0"/>
          <w:numId w:val="5"/>
        </w:numPr>
        <w:spacing w:after="0" w:line="240" w:lineRule="auto"/>
        <w:rPr>
          <w:lang w:val="en-CA"/>
        </w:rPr>
      </w:pPr>
      <w:r w:rsidRPr="006D1194">
        <w:rPr>
          <w:lang w:val="en-CA"/>
        </w:rPr>
        <w:t xml:space="preserve">Single or occasional acts had nature and quality making corporation amenable to suit; suit is related to cause of action </w:t>
      </w:r>
    </w:p>
    <w:p w:rsidR="009C5B50" w:rsidRPr="006D1194" w:rsidRDefault="009C5B50" w:rsidP="009C5B50">
      <w:pPr>
        <w:numPr>
          <w:ilvl w:val="1"/>
          <w:numId w:val="5"/>
        </w:numPr>
        <w:spacing w:after="0" w:line="240" w:lineRule="auto"/>
      </w:pPr>
      <w:r w:rsidRPr="006D1194">
        <w:rPr>
          <w:lang w:val="en-CA"/>
        </w:rPr>
        <w:t>Personal Jurisdiction</w:t>
      </w:r>
    </w:p>
    <w:p w:rsidR="009C5B50" w:rsidRDefault="009C5B50" w:rsidP="009C5B50">
      <w:pPr>
        <w:rPr>
          <w:lang w:val="en-CA"/>
        </w:rPr>
      </w:pPr>
    </w:p>
    <w:p w:rsidR="002533BA" w:rsidRDefault="002533BA" w:rsidP="009C5B50">
      <w:pPr>
        <w:rPr>
          <w:lang w:val="en-CA"/>
        </w:rPr>
      </w:pPr>
      <w:r>
        <w:rPr>
          <w:lang w:val="en-CA"/>
        </w:rPr>
        <w:t xml:space="preserve">The fourth category introduces </w:t>
      </w:r>
      <w:r w:rsidR="00A4142E">
        <w:rPr>
          <w:lang w:val="en-CA"/>
        </w:rPr>
        <w:t>the new</w:t>
      </w:r>
      <w:r>
        <w:rPr>
          <w:lang w:val="en-CA"/>
        </w:rPr>
        <w:t xml:space="preserve"> idea of specific jurisdiction</w:t>
      </w:r>
    </w:p>
    <w:p w:rsidR="002533BA" w:rsidRDefault="002533BA" w:rsidP="009C5B50">
      <w:proofErr w:type="gramStart"/>
      <w:r w:rsidRPr="002533BA">
        <w:rPr>
          <w:i/>
          <w:iCs/>
        </w:rPr>
        <w:t>specific</w:t>
      </w:r>
      <w:proofErr w:type="gramEnd"/>
      <w:r w:rsidRPr="002533BA">
        <w:rPr>
          <w:i/>
          <w:iCs/>
        </w:rPr>
        <w:t xml:space="preserve"> jurisdiction</w:t>
      </w:r>
      <w:r w:rsidRPr="002533BA">
        <w:br/>
      </w:r>
      <w:proofErr w:type="spellStart"/>
      <w:r w:rsidRPr="002533BA">
        <w:t>pj</w:t>
      </w:r>
      <w:proofErr w:type="spellEnd"/>
      <w:r w:rsidRPr="002533BA">
        <w:t xml:space="preserve"> in state onl</w:t>
      </w:r>
      <w:r>
        <w:t>y for specific causes of action</w:t>
      </w:r>
      <w:r w:rsidRPr="002533BA">
        <w:br/>
        <w:t xml:space="preserve">the activities in state giving rise to </w:t>
      </w:r>
      <w:proofErr w:type="spellStart"/>
      <w:r w:rsidRPr="002533BA">
        <w:t>pj</w:t>
      </w:r>
      <w:proofErr w:type="spellEnd"/>
      <w:r w:rsidRPr="002533BA">
        <w:t xml:space="preserve"> include those giving rise to the cause of action</w:t>
      </w:r>
    </w:p>
    <w:p w:rsidR="002533BA" w:rsidRDefault="002533BA" w:rsidP="009C5B50">
      <w:pPr>
        <w:rPr>
          <w:lang w:val="en-CA"/>
        </w:rPr>
      </w:pPr>
      <w:proofErr w:type="gramStart"/>
      <w:r>
        <w:rPr>
          <w:lang w:val="en-CA"/>
        </w:rPr>
        <w:t>under</w:t>
      </w:r>
      <w:proofErr w:type="gramEnd"/>
      <w:r>
        <w:rPr>
          <w:lang w:val="en-CA"/>
        </w:rPr>
        <w:t xml:space="preserve"> </w:t>
      </w:r>
      <w:proofErr w:type="spellStart"/>
      <w:r>
        <w:rPr>
          <w:lang w:val="en-CA"/>
        </w:rPr>
        <w:t>Pennoyer</w:t>
      </w:r>
      <w:proofErr w:type="spellEnd"/>
      <w:r>
        <w:rPr>
          <w:lang w:val="en-CA"/>
        </w:rPr>
        <w:t xml:space="preserve"> framework at least in  theory there was only general PJ:</w:t>
      </w:r>
      <w:r w:rsidRPr="002533BA">
        <w:br/>
        <w:t>pj in state for any cause of action, no matter where it arises</w:t>
      </w:r>
    </w:p>
    <w:p w:rsidR="009C5B50" w:rsidRDefault="009C5B50" w:rsidP="009C5B50">
      <w:pPr>
        <w:rPr>
          <w:lang w:val="en-CA"/>
        </w:rPr>
      </w:pPr>
    </w:p>
    <w:p w:rsidR="002533BA" w:rsidRDefault="002533BA" w:rsidP="009C5B50">
      <w:pPr>
        <w:rPr>
          <w:lang w:val="en-CA"/>
        </w:rPr>
      </w:pPr>
      <w:r>
        <w:rPr>
          <w:lang w:val="en-CA"/>
        </w:rPr>
        <w:t>Green questions whether there might be something in between:</w:t>
      </w:r>
    </w:p>
    <w:p w:rsidR="002533BA" w:rsidRDefault="002533BA" w:rsidP="009C5B50">
      <w:proofErr w:type="gramStart"/>
      <w:r w:rsidRPr="002533BA">
        <w:t>category</w:t>
      </w:r>
      <w:proofErr w:type="gramEnd"/>
      <w:r w:rsidRPr="002533BA">
        <w:t xml:space="preserve"> jurisdiction: </w:t>
      </w:r>
      <w:r w:rsidRPr="002533BA">
        <w:br/>
      </w:r>
      <w:r w:rsidRPr="002533BA">
        <w:br/>
        <w:t xml:space="preserve">PJ for a </w:t>
      </w:r>
      <w:r w:rsidRPr="002533BA">
        <w:rPr>
          <w:i/>
          <w:iCs/>
        </w:rPr>
        <w:t>category</w:t>
      </w:r>
      <w:r w:rsidRPr="002533BA">
        <w:t xml:space="preserve"> </w:t>
      </w:r>
      <w:r w:rsidRPr="002533BA">
        <w:rPr>
          <w:i/>
          <w:iCs/>
        </w:rPr>
        <w:t>of</w:t>
      </w:r>
      <w:r w:rsidRPr="002533BA">
        <w:t xml:space="preserve"> (not all) causes of action, even when nothing about the transaction giving rise to the cause of action occurred in the forum state</w:t>
      </w:r>
    </w:p>
    <w:p w:rsidR="002533BA" w:rsidRDefault="002533BA" w:rsidP="009C5B50">
      <w:pPr>
        <w:rPr>
          <w:lang w:val="en-CA"/>
        </w:rPr>
      </w:pPr>
    </w:p>
    <w:p w:rsidR="00A4142E" w:rsidRDefault="00A4142E" w:rsidP="009C5B50">
      <w:pPr>
        <w:rPr>
          <w:lang w:val="en-CA"/>
        </w:rPr>
      </w:pPr>
    </w:p>
    <w:p w:rsidR="00A4142E" w:rsidRDefault="00A4142E" w:rsidP="009C5B50">
      <w:pPr>
        <w:rPr>
          <w:lang w:val="en-CA"/>
        </w:rPr>
      </w:pPr>
    </w:p>
    <w:p w:rsidR="009C5B50" w:rsidRPr="007123B3" w:rsidRDefault="009C5B50" w:rsidP="009C5B50">
      <w:r w:rsidRPr="007123B3">
        <w:lastRenderedPageBreak/>
        <w:t xml:space="preserve">General </w:t>
      </w:r>
      <w:r w:rsidR="002533BA">
        <w:t xml:space="preserve">in </w:t>
      </w:r>
      <w:proofErr w:type="spellStart"/>
      <w:r w:rsidR="002533BA">
        <w:t>personam</w:t>
      </w:r>
      <w:proofErr w:type="spellEnd"/>
      <w:r w:rsidR="002533BA">
        <w:t xml:space="preserve"> </w:t>
      </w:r>
      <w:r w:rsidRPr="007123B3">
        <w:t>PJ over Corps</w:t>
      </w:r>
    </w:p>
    <w:p w:rsidR="00172AEE" w:rsidRPr="007123B3" w:rsidRDefault="00172AEE" w:rsidP="00A4142E"/>
    <w:p w:rsidR="009C5B50" w:rsidRPr="007123B3" w:rsidRDefault="009C5B50" w:rsidP="009C5B50">
      <w:pPr>
        <w:rPr>
          <w:lang w:val="en-CA"/>
        </w:rPr>
      </w:pPr>
      <w:r w:rsidRPr="007123B3">
        <w:rPr>
          <w:lang w:val="en-CA"/>
        </w:rPr>
        <w:fldChar w:fldCharType="begin"/>
      </w:r>
      <w:r w:rsidRPr="007123B3">
        <w:rPr>
          <w:lang w:val="en-CA"/>
        </w:rPr>
        <w:instrText xml:space="preserve"> SEQ CHAPTER \h \r 1</w:instrText>
      </w:r>
      <w:r w:rsidRPr="007123B3">
        <w:rPr>
          <w:lang w:val="en-CA"/>
        </w:rPr>
        <w:fldChar w:fldCharType="end"/>
      </w:r>
      <w:r w:rsidRPr="007123B3">
        <w:rPr>
          <w:bCs/>
          <w:lang w:val="en-CA"/>
        </w:rPr>
        <w:t>Perkins v. Benguet Consolidated Mining</w:t>
      </w:r>
    </w:p>
    <w:p w:rsidR="009C5B50" w:rsidRPr="007123B3" w:rsidRDefault="009C5B50" w:rsidP="009C5B50">
      <w:pPr>
        <w:rPr>
          <w:lang w:val="en-CA"/>
        </w:rPr>
      </w:pPr>
      <w:r w:rsidRPr="007123B3">
        <w:rPr>
          <w:lang w:val="en-CA"/>
        </w:rPr>
        <w:t xml:space="preserve">- Perkins sued </w:t>
      </w:r>
      <w:proofErr w:type="spellStart"/>
      <w:r w:rsidRPr="007123B3">
        <w:rPr>
          <w:lang w:val="en-CA"/>
        </w:rPr>
        <w:t>Phillipine</w:t>
      </w:r>
      <w:proofErr w:type="spellEnd"/>
      <w:r w:rsidRPr="007123B3">
        <w:rPr>
          <w:lang w:val="en-CA"/>
        </w:rPr>
        <w:t xml:space="preserve"> </w:t>
      </w:r>
      <w:proofErr w:type="spellStart"/>
      <w:r w:rsidRPr="007123B3">
        <w:rPr>
          <w:lang w:val="en-CA"/>
        </w:rPr>
        <w:t>corp</w:t>
      </w:r>
      <w:proofErr w:type="spellEnd"/>
      <w:r w:rsidRPr="007123B3">
        <w:rPr>
          <w:lang w:val="en-CA"/>
        </w:rPr>
        <w:t xml:space="preserve"> in Oh for dividends claimed to be due to her as </w:t>
      </w:r>
      <w:r w:rsidR="002533BA">
        <w:rPr>
          <w:lang w:val="en-CA"/>
        </w:rPr>
        <w:t>a shareholder</w:t>
      </w:r>
      <w:r w:rsidRPr="007123B3">
        <w:rPr>
          <w:lang w:val="en-CA"/>
        </w:rPr>
        <w:t xml:space="preserve"> of </w:t>
      </w:r>
      <w:proofErr w:type="spellStart"/>
      <w:r w:rsidRPr="007123B3">
        <w:rPr>
          <w:lang w:val="en-CA"/>
        </w:rPr>
        <w:t>Benguet</w:t>
      </w:r>
      <w:proofErr w:type="spellEnd"/>
    </w:p>
    <w:p w:rsidR="009C5B50" w:rsidRPr="007123B3" w:rsidRDefault="009C5B50" w:rsidP="009C5B50">
      <w:pPr>
        <w:rPr>
          <w:lang w:val="en-CA"/>
        </w:rPr>
      </w:pPr>
      <w:r w:rsidRPr="007123B3">
        <w:rPr>
          <w:lang w:val="en-CA"/>
        </w:rPr>
        <w:t xml:space="preserve">- motion to quash service was granted and </w:t>
      </w:r>
      <w:proofErr w:type="spellStart"/>
      <w:r w:rsidRPr="007123B3">
        <w:rPr>
          <w:lang w:val="en-CA"/>
        </w:rPr>
        <w:t>aff’d</w:t>
      </w:r>
      <w:proofErr w:type="spellEnd"/>
      <w:r w:rsidRPr="007123B3">
        <w:rPr>
          <w:lang w:val="en-CA"/>
        </w:rPr>
        <w:t xml:space="preserve"> by state appellate courts</w:t>
      </w:r>
    </w:p>
    <w:p w:rsidR="009C5B50" w:rsidRPr="007123B3" w:rsidRDefault="009C5B50" w:rsidP="009C5B50">
      <w:pPr>
        <w:rPr>
          <w:lang w:val="en-CA"/>
        </w:rPr>
      </w:pPr>
      <w:r w:rsidRPr="007123B3">
        <w:rPr>
          <w:lang w:val="en-CA"/>
        </w:rPr>
        <w:t xml:space="preserve">- </w:t>
      </w:r>
      <w:proofErr w:type="gramStart"/>
      <w:r w:rsidRPr="007123B3">
        <w:rPr>
          <w:lang w:val="en-CA"/>
        </w:rPr>
        <w:t>attack</w:t>
      </w:r>
      <w:proofErr w:type="gramEnd"/>
      <w:r w:rsidRPr="007123B3">
        <w:rPr>
          <w:lang w:val="en-CA"/>
        </w:rPr>
        <w:t xml:space="preserve"> on service?</w:t>
      </w:r>
      <w:r w:rsidR="002533BA">
        <w:rPr>
          <w:lang w:val="en-CA"/>
        </w:rPr>
        <w:t xml:space="preserve"> No – on PJ</w:t>
      </w:r>
    </w:p>
    <w:p w:rsidR="009C5B50" w:rsidRPr="007123B3" w:rsidRDefault="009C5B50" w:rsidP="009C5B50">
      <w:pPr>
        <w:rPr>
          <w:lang w:val="en-CA"/>
        </w:rPr>
      </w:pPr>
    </w:p>
    <w:p w:rsidR="009C5B50" w:rsidRPr="007123B3" w:rsidRDefault="009C5B50" w:rsidP="009C5B50">
      <w:pPr>
        <w:rPr>
          <w:lang w:val="en-CA"/>
        </w:rPr>
      </w:pPr>
      <w:r w:rsidRPr="007123B3">
        <w:rPr>
          <w:lang w:val="en-CA"/>
        </w:rPr>
        <w:t xml:space="preserve"> What were the activities supporting </w:t>
      </w:r>
      <w:proofErr w:type="spellStart"/>
      <w:r w:rsidRPr="007123B3">
        <w:rPr>
          <w:lang w:val="en-CA"/>
        </w:rPr>
        <w:t>jurisd</w:t>
      </w:r>
      <w:proofErr w:type="spellEnd"/>
      <w:r w:rsidRPr="007123B3">
        <w:rPr>
          <w:lang w:val="en-CA"/>
        </w:rPr>
        <w:t>?</w:t>
      </w:r>
    </w:p>
    <w:p w:rsidR="009C5B50" w:rsidRPr="007123B3" w:rsidRDefault="009C5B50" w:rsidP="009C5B50">
      <w:pPr>
        <w:rPr>
          <w:lang w:val="en-CA"/>
        </w:rPr>
      </w:pPr>
      <w:r w:rsidRPr="007123B3">
        <w:rPr>
          <w:lang w:val="en-CA"/>
        </w:rPr>
        <w:tab/>
        <w:t xml:space="preserve">- </w:t>
      </w:r>
      <w:proofErr w:type="gramStart"/>
      <w:r w:rsidR="002533BA">
        <w:rPr>
          <w:lang w:val="en-CA"/>
        </w:rPr>
        <w:t>president</w:t>
      </w:r>
      <w:proofErr w:type="gramEnd"/>
      <w:r w:rsidRPr="007123B3">
        <w:rPr>
          <w:lang w:val="en-CA"/>
        </w:rPr>
        <w:t xml:space="preserve"> maintained office, had 2 secretaries, bank accounts, director’s meetings, payroll</w:t>
      </w:r>
    </w:p>
    <w:p w:rsidR="009C5B50" w:rsidRPr="007123B3" w:rsidRDefault="009C5B50" w:rsidP="009C5B50">
      <w:pPr>
        <w:rPr>
          <w:lang w:val="en-CA"/>
        </w:rPr>
      </w:pPr>
      <w:r w:rsidRPr="007123B3">
        <w:rPr>
          <w:lang w:val="en-CA"/>
        </w:rPr>
        <w:tab/>
      </w:r>
    </w:p>
    <w:p w:rsidR="009C5B50" w:rsidRDefault="009C5B50" w:rsidP="002533BA">
      <w:pPr>
        <w:pStyle w:val="ListParagraph"/>
        <w:rPr>
          <w:lang w:val="en-CA"/>
        </w:rPr>
      </w:pPr>
      <w:r w:rsidRPr="000578F5">
        <w:rPr>
          <w:lang w:val="en-CA"/>
        </w:rPr>
        <w:t xml:space="preserve">Why isn’t this a specific </w:t>
      </w:r>
      <w:proofErr w:type="spellStart"/>
      <w:proofErr w:type="gramStart"/>
      <w:r w:rsidRPr="000578F5">
        <w:rPr>
          <w:lang w:val="en-CA"/>
        </w:rPr>
        <w:t>jur</w:t>
      </w:r>
      <w:r w:rsidR="008966F1">
        <w:rPr>
          <w:lang w:val="en-CA"/>
        </w:rPr>
        <w:t>isd</w:t>
      </w:r>
      <w:proofErr w:type="spellEnd"/>
      <w:r w:rsidR="008966F1">
        <w:rPr>
          <w:lang w:val="en-CA"/>
        </w:rPr>
        <w:t>.</w:t>
      </w:r>
      <w:proofErr w:type="gramEnd"/>
      <w:r w:rsidRPr="000578F5">
        <w:rPr>
          <w:lang w:val="en-CA"/>
        </w:rPr>
        <w:t xml:space="preserve"> </w:t>
      </w:r>
      <w:proofErr w:type="gramStart"/>
      <w:r w:rsidRPr="000578F5">
        <w:rPr>
          <w:lang w:val="en-CA"/>
        </w:rPr>
        <w:t>case</w:t>
      </w:r>
      <w:proofErr w:type="gramEnd"/>
      <w:r w:rsidRPr="000578F5">
        <w:rPr>
          <w:lang w:val="en-CA"/>
        </w:rPr>
        <w:t>?</w:t>
      </w:r>
    </w:p>
    <w:p w:rsidR="009C5B50" w:rsidRPr="007123B3" w:rsidRDefault="002533BA" w:rsidP="002533BA">
      <w:pPr>
        <w:pStyle w:val="ListParagraph"/>
        <w:rPr>
          <w:lang w:val="en-CA"/>
        </w:rPr>
      </w:pPr>
      <w:r>
        <w:rPr>
          <w:lang w:val="en-CA"/>
        </w:rPr>
        <w:t>The activities giving rise to the cause of action (the failure to pay dividends) did not occur in Ohio</w:t>
      </w:r>
    </w:p>
    <w:p w:rsidR="009C5B50" w:rsidRPr="007123B3" w:rsidRDefault="009C5B50" w:rsidP="009C5B50">
      <w:pPr>
        <w:rPr>
          <w:lang w:val="en-CA"/>
        </w:rPr>
      </w:pPr>
    </w:p>
    <w:p w:rsidR="009C5B50" w:rsidRPr="007123B3" w:rsidRDefault="009C5B50" w:rsidP="009C5B50">
      <w:pPr>
        <w:rPr>
          <w:lang w:val="en-CA"/>
        </w:rPr>
      </w:pPr>
      <w:r w:rsidRPr="007123B3">
        <w:rPr>
          <w:lang w:val="en-CA"/>
        </w:rPr>
        <w:t xml:space="preserve">Why discussion of PJ being </w:t>
      </w:r>
      <w:r w:rsidRPr="000578F5">
        <w:rPr>
          <w:b/>
          <w:bCs/>
          <w:lang w:val="en-CA"/>
        </w:rPr>
        <w:t>required</w:t>
      </w:r>
      <w:r w:rsidRPr="007123B3">
        <w:rPr>
          <w:lang w:val="en-CA"/>
        </w:rPr>
        <w:t>?</w:t>
      </w:r>
    </w:p>
    <w:p w:rsidR="008966F1" w:rsidRDefault="009C5B50" w:rsidP="009C5B50">
      <w:pPr>
        <w:rPr>
          <w:lang w:val="en-CA"/>
        </w:rPr>
      </w:pPr>
      <w:r w:rsidRPr="007123B3">
        <w:rPr>
          <w:lang w:val="en-CA"/>
        </w:rPr>
        <w:tab/>
        <w:t xml:space="preserve">- </w:t>
      </w:r>
      <w:r w:rsidR="008966F1">
        <w:rPr>
          <w:lang w:val="en-CA"/>
        </w:rPr>
        <w:t xml:space="preserve">even if PJ was permissible, the state court might </w:t>
      </w:r>
      <w:r w:rsidR="00A4142E">
        <w:rPr>
          <w:lang w:val="en-CA"/>
        </w:rPr>
        <w:t xml:space="preserve">at its discretion </w:t>
      </w:r>
      <w:r w:rsidR="008966F1">
        <w:rPr>
          <w:lang w:val="en-CA"/>
        </w:rPr>
        <w:t>still dismiss, since this was an example of an out-of-state P suing and out-of-state D about something that occurred out of state</w:t>
      </w:r>
    </w:p>
    <w:p w:rsidR="009C5B50" w:rsidRPr="007123B3" w:rsidRDefault="009C5B50" w:rsidP="009C5B50">
      <w:pPr>
        <w:rPr>
          <w:lang w:val="en-CA"/>
        </w:rPr>
      </w:pPr>
      <w:r w:rsidRPr="007123B3">
        <w:rPr>
          <w:lang w:val="en-CA"/>
        </w:rPr>
        <w:t>Perkins</w:t>
      </w:r>
      <w:r w:rsidR="008966F1">
        <w:rPr>
          <w:lang w:val="en-CA"/>
        </w:rPr>
        <w:t xml:space="preserve"> </w:t>
      </w:r>
      <w:r w:rsidRPr="007123B3">
        <w:rPr>
          <w:lang w:val="en-CA"/>
        </w:rPr>
        <w:t xml:space="preserve">argued that the state court </w:t>
      </w:r>
      <w:r w:rsidR="008966F1">
        <w:rPr>
          <w:lang w:val="en-CA"/>
        </w:rPr>
        <w:t>was</w:t>
      </w:r>
      <w:r w:rsidRPr="007123B3">
        <w:rPr>
          <w:lang w:val="en-CA"/>
        </w:rPr>
        <w:t xml:space="preserve"> required </w:t>
      </w:r>
      <w:r w:rsidR="008966F1">
        <w:rPr>
          <w:lang w:val="en-CA"/>
        </w:rPr>
        <w:t>to take the case</w:t>
      </w:r>
    </w:p>
    <w:p w:rsidR="009C5B50" w:rsidRPr="007123B3" w:rsidRDefault="008966F1" w:rsidP="009C5B50">
      <w:pPr>
        <w:rPr>
          <w:lang w:val="en-CA"/>
        </w:rPr>
      </w:pPr>
      <w:r>
        <w:rPr>
          <w:lang w:val="en-CA"/>
        </w:rPr>
        <w:t xml:space="preserve">- </w:t>
      </w:r>
      <w:proofErr w:type="spellStart"/>
      <w:r w:rsidR="00A4142E">
        <w:rPr>
          <w:lang w:val="en-CA"/>
        </w:rPr>
        <w:t>SCt</w:t>
      </w:r>
      <w:proofErr w:type="spellEnd"/>
      <w:r>
        <w:rPr>
          <w:lang w:val="en-CA"/>
        </w:rPr>
        <w:t xml:space="preserve"> concluded it was not required, although asserting PJ was permissible</w:t>
      </w:r>
    </w:p>
    <w:p w:rsidR="008966F1" w:rsidRDefault="008966F1" w:rsidP="008966F1">
      <w:pPr>
        <w:rPr>
          <w:lang w:val="en-CA"/>
        </w:rPr>
      </w:pPr>
      <w:r>
        <w:rPr>
          <w:lang w:val="en-CA"/>
        </w:rPr>
        <w:t>Why permissible?</w:t>
      </w:r>
    </w:p>
    <w:p w:rsidR="008966F1" w:rsidRDefault="008966F1" w:rsidP="008966F1">
      <w:pPr>
        <w:rPr>
          <w:lang w:val="en-CA"/>
        </w:rPr>
      </w:pPr>
      <w:r>
        <w:rPr>
          <w:lang w:val="en-CA"/>
        </w:rPr>
        <w:t>Court uses both the language of “continuous and systematic” and “substantial and continuous”</w:t>
      </w:r>
    </w:p>
    <w:p w:rsidR="008966F1" w:rsidRDefault="008966F1" w:rsidP="008966F1">
      <w:r w:rsidRPr="008966F1">
        <w:t>“The corporation has been carrying on in Ohio a continuous and systematic, but limited, part of its general business.”</w:t>
      </w:r>
      <w:r w:rsidRPr="008966F1">
        <w:br/>
      </w:r>
      <w:r w:rsidRPr="008966F1">
        <w:br/>
        <w:t>“Thus he carried on in Ohio a continuous and systematic supervision of the necessarily limited wartime activities of the company.”</w:t>
      </w:r>
    </w:p>
    <w:p w:rsidR="008966F1" w:rsidRDefault="008966F1" w:rsidP="008966F1">
      <w:r w:rsidRPr="008966F1">
        <w:t xml:space="preserve">“It remains only to consider, in more detail, the issue of whether, as a matter of federal due process, the business done in Ohio by the respondent mining company was sufficiently substantial and of such a </w:t>
      </w:r>
      <w:r w:rsidRPr="008966F1">
        <w:lastRenderedPageBreak/>
        <w:t>nature as to permit Ohio to entertain a cause of action against a foreign corporation, where the cause of action arose from activities entirely distinct from its activities in Ohio.”</w:t>
      </w:r>
    </w:p>
    <w:p w:rsidR="009867B2" w:rsidRDefault="009867B2" w:rsidP="008966F1">
      <w:r>
        <w:t xml:space="preserve">Not a very hard case – the bulk of what little activities the </w:t>
      </w:r>
      <w:proofErr w:type="spellStart"/>
      <w:r>
        <w:t>corp</w:t>
      </w:r>
      <w:proofErr w:type="spellEnd"/>
      <w:r>
        <w:t xml:space="preserve"> engaged in were in Ohio</w:t>
      </w:r>
    </w:p>
    <w:p w:rsidR="00A4142E" w:rsidRPr="008966F1" w:rsidRDefault="00A4142E" w:rsidP="008966F1">
      <w:pPr>
        <w:rPr>
          <w:lang w:val="en-CA"/>
        </w:rPr>
      </w:pPr>
    </w:p>
    <w:p w:rsidR="00172AEE" w:rsidRPr="00462979" w:rsidRDefault="00172AEE" w:rsidP="008966F1">
      <w:proofErr w:type="spellStart"/>
      <w:r w:rsidRPr="00462979">
        <w:t>Helicopteros</w:t>
      </w:r>
      <w:proofErr w:type="spellEnd"/>
      <w:r w:rsidR="00462979" w:rsidRPr="00462979">
        <w:t xml:space="preserve"> – not helpful because there was obviously no general PJ</w:t>
      </w:r>
    </w:p>
    <w:p w:rsidR="00172AEE" w:rsidRPr="00462979" w:rsidRDefault="00172AEE" w:rsidP="00172AEE">
      <w:pPr>
        <w:pStyle w:val="ListParagraph"/>
        <w:numPr>
          <w:ilvl w:val="1"/>
          <w:numId w:val="2"/>
        </w:numPr>
      </w:pPr>
      <w:r w:rsidRPr="00462979">
        <w:t xml:space="preserve">Failed specific </w:t>
      </w:r>
      <w:r w:rsidR="00462979" w:rsidRPr="00462979">
        <w:t>PJ</w:t>
      </w:r>
      <w:r w:rsidRPr="00462979">
        <w:t xml:space="preserve"> case</w:t>
      </w:r>
    </w:p>
    <w:p w:rsidR="00172AEE" w:rsidRPr="00462979" w:rsidRDefault="00810A8B" w:rsidP="00172AEE">
      <w:pPr>
        <w:pStyle w:val="ListParagraph"/>
        <w:numPr>
          <w:ilvl w:val="1"/>
          <w:numId w:val="2"/>
        </w:numPr>
      </w:pPr>
      <w:r w:rsidRPr="00462979">
        <w:t xml:space="preserve">US Ps </w:t>
      </w:r>
      <w:r w:rsidR="00462979" w:rsidRPr="00462979">
        <w:t>trying to get PJ over a</w:t>
      </w:r>
      <w:r w:rsidR="00172AEE" w:rsidRPr="00462979">
        <w:t xml:space="preserve"> Columbian </w:t>
      </w:r>
      <w:proofErr w:type="spellStart"/>
      <w:r w:rsidR="00172AEE" w:rsidRPr="00462979">
        <w:t>corp</w:t>
      </w:r>
      <w:proofErr w:type="spellEnd"/>
      <w:r w:rsidRPr="00462979">
        <w:t xml:space="preserve"> in Texas state </w:t>
      </w:r>
      <w:proofErr w:type="spellStart"/>
      <w:r w:rsidRPr="00462979">
        <w:t>ct</w:t>
      </w:r>
      <w:proofErr w:type="spellEnd"/>
      <w:r w:rsidRPr="00462979">
        <w:t xml:space="preserve"> for wrongful death</w:t>
      </w:r>
    </w:p>
    <w:p w:rsidR="00172AEE" w:rsidRPr="00462979" w:rsidRDefault="00462979" w:rsidP="00172AEE">
      <w:pPr>
        <w:pStyle w:val="ListParagraph"/>
        <w:numPr>
          <w:ilvl w:val="1"/>
          <w:numId w:val="2"/>
        </w:numPr>
      </w:pPr>
      <w:r w:rsidRPr="00462979">
        <w:t>Helicopter a</w:t>
      </w:r>
      <w:r w:rsidR="00172AEE" w:rsidRPr="00462979">
        <w:t>ccident in Peru</w:t>
      </w:r>
    </w:p>
    <w:p w:rsidR="00172AEE" w:rsidRPr="00462979" w:rsidRDefault="00172AEE" w:rsidP="00172AEE">
      <w:pPr>
        <w:pStyle w:val="ListParagraph"/>
        <w:numPr>
          <w:ilvl w:val="1"/>
          <w:numId w:val="2"/>
        </w:numPr>
      </w:pPr>
      <w:r w:rsidRPr="00462979">
        <w:t>A few things having to do with accident occurred in Texas</w:t>
      </w:r>
    </w:p>
    <w:p w:rsidR="00172AEE" w:rsidRPr="00462979" w:rsidRDefault="00172AEE" w:rsidP="00172AEE">
      <w:pPr>
        <w:pStyle w:val="ListParagraph"/>
        <w:numPr>
          <w:ilvl w:val="2"/>
          <w:numId w:val="2"/>
        </w:numPr>
      </w:pPr>
      <w:r w:rsidRPr="00462979">
        <w:t>Training (but not action against trainer)</w:t>
      </w:r>
    </w:p>
    <w:p w:rsidR="00172AEE" w:rsidRPr="00462979" w:rsidRDefault="00A4142E" w:rsidP="00172AEE">
      <w:pPr>
        <w:pStyle w:val="ListParagraph"/>
        <w:numPr>
          <w:ilvl w:val="2"/>
          <w:numId w:val="2"/>
        </w:numPr>
      </w:pPr>
      <w:r>
        <w:t>Helicopter bo</w:t>
      </w:r>
      <w:r w:rsidR="00810A8B" w:rsidRPr="00462979">
        <w:t xml:space="preserve">ught </w:t>
      </w:r>
      <w:r w:rsidR="00462979" w:rsidRPr="00462979">
        <w:t xml:space="preserve">there </w:t>
      </w:r>
      <w:r w:rsidR="00810A8B" w:rsidRPr="00462979">
        <w:t>(but not accident aga</w:t>
      </w:r>
      <w:r w:rsidR="00172AEE" w:rsidRPr="00462979">
        <w:t>inst manufacturer</w:t>
      </w:r>
      <w:r w:rsidR="00462979" w:rsidRPr="00462979">
        <w:t xml:space="preserve"> or seller</w:t>
      </w:r>
      <w:r w:rsidR="00172AEE" w:rsidRPr="00462979">
        <w:t>)</w:t>
      </w:r>
    </w:p>
    <w:p w:rsidR="00172AEE" w:rsidRPr="00462979" w:rsidRDefault="00810A8B" w:rsidP="00172AEE">
      <w:pPr>
        <w:pStyle w:val="ListParagraph"/>
        <w:numPr>
          <w:ilvl w:val="2"/>
          <w:numId w:val="2"/>
        </w:numPr>
      </w:pPr>
      <w:r w:rsidRPr="00462979">
        <w:t>A bit of financial activiti</w:t>
      </w:r>
      <w:r w:rsidR="00172AEE" w:rsidRPr="00462979">
        <w:t>es</w:t>
      </w:r>
    </w:p>
    <w:p w:rsidR="00172AEE" w:rsidRPr="00462979" w:rsidRDefault="00A4142E" w:rsidP="00172AEE">
      <w:pPr>
        <w:pStyle w:val="ListParagraph"/>
        <w:numPr>
          <w:ilvl w:val="1"/>
          <w:numId w:val="2"/>
        </w:numPr>
      </w:pPr>
      <w:r>
        <w:t xml:space="preserve">Really absurd that Columbian D </w:t>
      </w:r>
      <w:r w:rsidR="00172AEE" w:rsidRPr="00462979">
        <w:t>could be sued</w:t>
      </w:r>
      <w:r w:rsidR="00462979" w:rsidRPr="00462979">
        <w:t xml:space="preserve"> on any cause of action</w:t>
      </w:r>
      <w:r w:rsidR="00172AEE" w:rsidRPr="00462979">
        <w:t xml:space="preserve"> in Texas</w:t>
      </w:r>
      <w:r w:rsidR="00462979" w:rsidRPr="00462979">
        <w:t xml:space="preserve"> on the basis of these activities</w:t>
      </w:r>
    </w:p>
    <w:p w:rsidR="00172AEE" w:rsidRPr="007123B3" w:rsidRDefault="00172AEE" w:rsidP="00462979">
      <w:pPr>
        <w:pStyle w:val="ListParagraph"/>
        <w:ind w:left="1440"/>
      </w:pPr>
    </w:p>
    <w:p w:rsidR="00563708" w:rsidRPr="007123B3" w:rsidRDefault="00563708" w:rsidP="00462979">
      <w:r w:rsidRPr="007123B3">
        <w:t xml:space="preserve">Goodyear Dunlap Tires (Just decided in June 2011) </w:t>
      </w:r>
      <w:r w:rsidR="00A4142E">
        <w:t>–</w:t>
      </w:r>
      <w:r w:rsidRPr="007123B3">
        <w:t xml:space="preserve"> Ginsburg</w:t>
      </w:r>
      <w:r w:rsidR="00A4142E">
        <w:t>’s opinion</w:t>
      </w:r>
    </w:p>
    <w:p w:rsidR="00563708" w:rsidRPr="007123B3" w:rsidRDefault="00563708" w:rsidP="00563708">
      <w:pPr>
        <w:pStyle w:val="ListParagraph"/>
      </w:pPr>
      <w:r w:rsidRPr="007123B3">
        <w:t>Bus accident outside Paris</w:t>
      </w:r>
    </w:p>
    <w:p w:rsidR="00563708" w:rsidRPr="007123B3" w:rsidRDefault="00563708" w:rsidP="00563708">
      <w:pPr>
        <w:pStyle w:val="ListParagraph"/>
        <w:numPr>
          <w:ilvl w:val="0"/>
          <w:numId w:val="2"/>
        </w:numPr>
      </w:pPr>
      <w:r w:rsidRPr="007123B3">
        <w:t>Two NC boys killed</w:t>
      </w:r>
    </w:p>
    <w:p w:rsidR="00563708" w:rsidRPr="007123B3" w:rsidRDefault="00563708" w:rsidP="00563708">
      <w:pPr>
        <w:pStyle w:val="ListParagraph"/>
        <w:numPr>
          <w:ilvl w:val="0"/>
          <w:numId w:val="2"/>
        </w:numPr>
      </w:pPr>
      <w:r w:rsidRPr="007123B3">
        <w:t>Defective tires</w:t>
      </w:r>
    </w:p>
    <w:p w:rsidR="00563708" w:rsidRDefault="00462979" w:rsidP="00462979">
      <w:pPr>
        <w:pStyle w:val="ListParagraph"/>
        <w:numPr>
          <w:ilvl w:val="0"/>
          <w:numId w:val="2"/>
        </w:numPr>
      </w:pPr>
      <w:r>
        <w:t xml:space="preserve">Sued parent – Goodyear USA </w:t>
      </w:r>
      <w:r w:rsidR="00563708" w:rsidRPr="007123B3">
        <w:t xml:space="preserve"> (Ohio </w:t>
      </w:r>
      <w:proofErr w:type="spellStart"/>
      <w:r w:rsidR="00563708" w:rsidRPr="007123B3">
        <w:t>corp</w:t>
      </w:r>
      <w:proofErr w:type="spellEnd"/>
      <w:r w:rsidR="00563708" w:rsidRPr="007123B3">
        <w:t>)</w:t>
      </w:r>
    </w:p>
    <w:p w:rsidR="00462979" w:rsidRPr="007123B3" w:rsidRDefault="00462979" w:rsidP="00462979">
      <w:pPr>
        <w:pStyle w:val="ListParagraph"/>
        <w:numPr>
          <w:ilvl w:val="1"/>
          <w:numId w:val="2"/>
        </w:numPr>
      </w:pPr>
      <w:r>
        <w:t>It did not challenge PJ</w:t>
      </w:r>
    </w:p>
    <w:p w:rsidR="00563708" w:rsidRPr="007123B3" w:rsidRDefault="00563708" w:rsidP="00563708">
      <w:pPr>
        <w:pStyle w:val="ListParagraph"/>
        <w:numPr>
          <w:ilvl w:val="0"/>
          <w:numId w:val="2"/>
        </w:numPr>
      </w:pPr>
      <w:r w:rsidRPr="007123B3">
        <w:t>3 subs</w:t>
      </w:r>
    </w:p>
    <w:p w:rsidR="00563708" w:rsidRPr="007123B3" w:rsidRDefault="00563708" w:rsidP="00563708">
      <w:pPr>
        <w:pStyle w:val="ListParagraph"/>
        <w:numPr>
          <w:ilvl w:val="1"/>
          <w:numId w:val="2"/>
        </w:numPr>
      </w:pPr>
      <w:r w:rsidRPr="007123B3">
        <w:t xml:space="preserve">Organized and </w:t>
      </w:r>
      <w:r w:rsidR="00A4142E">
        <w:t>operating</w:t>
      </w:r>
      <w:r w:rsidRPr="007123B3">
        <w:t xml:space="preserve"> in Turkey</w:t>
      </w:r>
      <w:r w:rsidR="00462979">
        <w:t>,</w:t>
      </w:r>
      <w:r w:rsidRPr="007123B3">
        <w:t xml:space="preserve"> France</w:t>
      </w:r>
      <w:r w:rsidR="00462979">
        <w:t>,</w:t>
      </w:r>
      <w:r w:rsidRPr="007123B3">
        <w:t xml:space="preserve"> Lux</w:t>
      </w:r>
      <w:r w:rsidR="00462979">
        <w:t>embourg</w:t>
      </w:r>
    </w:p>
    <w:p w:rsidR="00563708" w:rsidRPr="007123B3" w:rsidRDefault="00A4142E" w:rsidP="00563708">
      <w:pPr>
        <w:pStyle w:val="ListParagraph"/>
        <w:numPr>
          <w:ilvl w:val="1"/>
          <w:numId w:val="2"/>
        </w:numPr>
      </w:pPr>
      <w:r>
        <w:t>For simplicity’s sake j</w:t>
      </w:r>
      <w:r w:rsidR="00563708" w:rsidRPr="007123B3">
        <w:t>ust speak of Turkey one</w:t>
      </w:r>
    </w:p>
    <w:p w:rsidR="00563708" w:rsidRPr="007123B3" w:rsidRDefault="00563708" w:rsidP="00563708">
      <w:pPr>
        <w:pStyle w:val="ListParagraph"/>
        <w:numPr>
          <w:ilvl w:val="0"/>
          <w:numId w:val="2"/>
        </w:numPr>
      </w:pPr>
      <w:r w:rsidRPr="007123B3">
        <w:t>Why not spec</w:t>
      </w:r>
      <w:r w:rsidR="00462979">
        <w:t>ific PJ?</w:t>
      </w:r>
    </w:p>
    <w:p w:rsidR="00563708" w:rsidRPr="007123B3" w:rsidRDefault="00563708" w:rsidP="00563708">
      <w:pPr>
        <w:pStyle w:val="ListParagraph"/>
        <w:numPr>
          <w:ilvl w:val="1"/>
          <w:numId w:val="2"/>
        </w:numPr>
      </w:pPr>
      <w:r w:rsidRPr="007123B3">
        <w:t>Bus accident in France</w:t>
      </w:r>
    </w:p>
    <w:p w:rsidR="00563708" w:rsidRPr="007123B3" w:rsidRDefault="00563708" w:rsidP="00563708">
      <w:pPr>
        <w:pStyle w:val="ListParagraph"/>
        <w:numPr>
          <w:ilvl w:val="1"/>
          <w:numId w:val="2"/>
        </w:numPr>
      </w:pPr>
      <w:r w:rsidRPr="007123B3">
        <w:t>Tires manufact</w:t>
      </w:r>
      <w:r w:rsidR="00462979">
        <w:t>ur</w:t>
      </w:r>
      <w:r w:rsidRPr="007123B3">
        <w:t>ed, bought and failed outside NC</w:t>
      </w:r>
    </w:p>
    <w:p w:rsidR="00563708" w:rsidRPr="007123B3" w:rsidRDefault="00563708" w:rsidP="00563708">
      <w:pPr>
        <w:pStyle w:val="ListParagraph"/>
        <w:numPr>
          <w:ilvl w:val="1"/>
          <w:numId w:val="2"/>
        </w:numPr>
      </w:pPr>
      <w:r w:rsidRPr="007123B3">
        <w:t xml:space="preserve">Why not enough that </w:t>
      </w:r>
      <w:proofErr w:type="spellStart"/>
      <w:r w:rsidRPr="007123B3">
        <w:t>NCians</w:t>
      </w:r>
      <w:proofErr w:type="spellEnd"/>
      <w:r w:rsidRPr="007123B3">
        <w:t xml:space="preserve"> harmed?</w:t>
      </w:r>
    </w:p>
    <w:p w:rsidR="00563708" w:rsidRDefault="00462979" w:rsidP="00563708">
      <w:pPr>
        <w:pStyle w:val="ListParagraph"/>
        <w:numPr>
          <w:ilvl w:val="1"/>
          <w:numId w:val="2"/>
        </w:numPr>
      </w:pPr>
      <w:r>
        <w:t>Not s</w:t>
      </w:r>
      <w:r w:rsidR="00A4142E">
        <w:t>omething that the Turkish D did</w:t>
      </w:r>
    </w:p>
    <w:p w:rsidR="00462979" w:rsidRPr="007123B3" w:rsidRDefault="00462979" w:rsidP="00462979">
      <w:pPr>
        <w:pStyle w:val="ListParagraph"/>
        <w:ind w:left="1440"/>
      </w:pPr>
    </w:p>
    <w:p w:rsidR="00563708" w:rsidRPr="007123B3" w:rsidRDefault="00563708" w:rsidP="00563708">
      <w:pPr>
        <w:pStyle w:val="ListParagraph"/>
        <w:numPr>
          <w:ilvl w:val="0"/>
          <w:numId w:val="2"/>
        </w:numPr>
      </w:pPr>
      <w:r w:rsidRPr="007123B3">
        <w:t xml:space="preserve">So need general </w:t>
      </w:r>
      <w:r w:rsidR="00462979">
        <w:t>PJ</w:t>
      </w:r>
    </w:p>
    <w:p w:rsidR="00563708" w:rsidRPr="007123B3" w:rsidRDefault="00563708" w:rsidP="00563708">
      <w:pPr>
        <w:pStyle w:val="ListParagraph"/>
      </w:pPr>
    </w:p>
    <w:p w:rsidR="00563708" w:rsidRPr="007123B3" w:rsidRDefault="00462979" w:rsidP="00563708">
      <w:pPr>
        <w:pStyle w:val="ListParagraph"/>
      </w:pPr>
      <w:r>
        <w:t>Why not say general PJ over subs</w:t>
      </w:r>
      <w:r w:rsidR="00563708" w:rsidRPr="007123B3">
        <w:t xml:space="preserve"> through </w:t>
      </w:r>
      <w:r>
        <w:t>general PJ</w:t>
      </w:r>
      <w:r w:rsidR="00563708" w:rsidRPr="007123B3">
        <w:t xml:space="preserve"> over parent</w:t>
      </w:r>
      <w:r>
        <w:t xml:space="preserve"> (Goodyear USA)</w:t>
      </w:r>
      <w:r w:rsidR="00563708" w:rsidRPr="007123B3">
        <w:t>?</w:t>
      </w:r>
    </w:p>
    <w:p w:rsidR="00563708" w:rsidRDefault="00462979" w:rsidP="00462979">
      <w:pPr>
        <w:pStyle w:val="ListParagraph"/>
        <w:numPr>
          <w:ilvl w:val="0"/>
          <w:numId w:val="2"/>
        </w:numPr>
      </w:pPr>
      <w:r>
        <w:t>We will talk about this later in connection with Daimler</w:t>
      </w:r>
    </w:p>
    <w:p w:rsidR="00462979" w:rsidRDefault="00462979" w:rsidP="00563708">
      <w:pPr>
        <w:pStyle w:val="ListParagraph"/>
      </w:pPr>
    </w:p>
    <w:p w:rsidR="00462979" w:rsidRDefault="00462979" w:rsidP="00563708">
      <w:pPr>
        <w:pStyle w:val="ListParagraph"/>
      </w:pPr>
      <w:r>
        <w:t>Setting aside parent, was there general PJ over Goodyear Turkey due to its activities directed toward NC?</w:t>
      </w:r>
    </w:p>
    <w:p w:rsidR="00563708" w:rsidRPr="007123B3" w:rsidRDefault="00462979" w:rsidP="00563708">
      <w:pPr>
        <w:pStyle w:val="ListParagraph"/>
      </w:pPr>
      <w:r>
        <w:t>Substantial and c</w:t>
      </w:r>
      <w:r w:rsidR="00563708" w:rsidRPr="007123B3">
        <w:t xml:space="preserve">ontinuous </w:t>
      </w:r>
      <w:r>
        <w:t>under</w:t>
      </w:r>
      <w:r w:rsidR="00563708" w:rsidRPr="007123B3">
        <w:t xml:space="preserve"> Int’l Shoe?</w:t>
      </w:r>
    </w:p>
    <w:p w:rsidR="00563708" w:rsidRPr="007123B3" w:rsidRDefault="00563708" w:rsidP="00563708">
      <w:pPr>
        <w:pStyle w:val="ListParagraph"/>
      </w:pPr>
    </w:p>
    <w:p w:rsidR="00563708" w:rsidRPr="007123B3" w:rsidRDefault="00563708" w:rsidP="00563708">
      <w:pPr>
        <w:pStyle w:val="ListParagraph"/>
      </w:pPr>
      <w:r w:rsidRPr="007123B3">
        <w:t xml:space="preserve">- </w:t>
      </w:r>
      <w:proofErr w:type="gramStart"/>
      <w:r w:rsidRPr="007123B3">
        <w:t>not</w:t>
      </w:r>
      <w:proofErr w:type="gramEnd"/>
      <w:r w:rsidRPr="007123B3">
        <w:t xml:space="preserve"> registered to do business in NC</w:t>
      </w:r>
    </w:p>
    <w:p w:rsidR="00563708" w:rsidRPr="007123B3" w:rsidRDefault="00563708" w:rsidP="00563708">
      <w:pPr>
        <w:pStyle w:val="ListParagraph"/>
        <w:numPr>
          <w:ilvl w:val="0"/>
          <w:numId w:val="2"/>
        </w:numPr>
      </w:pPr>
      <w:r w:rsidRPr="007123B3">
        <w:t>No employees bank accounts etc.</w:t>
      </w:r>
    </w:p>
    <w:p w:rsidR="00563708" w:rsidRPr="007123B3" w:rsidRDefault="00563708" w:rsidP="00563708">
      <w:pPr>
        <w:pStyle w:val="ListParagraph"/>
        <w:numPr>
          <w:ilvl w:val="0"/>
          <w:numId w:val="2"/>
        </w:numPr>
      </w:pPr>
      <w:r w:rsidRPr="007123B3">
        <w:t xml:space="preserve">No </w:t>
      </w:r>
      <w:proofErr w:type="spellStart"/>
      <w:r w:rsidRPr="007123B3">
        <w:t>manufactering</w:t>
      </w:r>
      <w:proofErr w:type="spellEnd"/>
      <w:r w:rsidRPr="007123B3">
        <w:t xml:space="preserve"> ads in NC</w:t>
      </w:r>
    </w:p>
    <w:p w:rsidR="00563708" w:rsidRPr="007123B3" w:rsidRDefault="00563708" w:rsidP="00563708">
      <w:pPr>
        <w:pStyle w:val="ListParagraph"/>
      </w:pPr>
    </w:p>
    <w:p w:rsidR="00563708" w:rsidRPr="007123B3" w:rsidRDefault="00563708" w:rsidP="00563708">
      <w:pPr>
        <w:pStyle w:val="ListParagraph"/>
        <w:numPr>
          <w:ilvl w:val="0"/>
          <w:numId w:val="2"/>
        </w:numPr>
      </w:pPr>
      <w:r w:rsidRPr="007123B3">
        <w:t>Don’t they do business by selling products in NC?</w:t>
      </w:r>
    </w:p>
    <w:p w:rsidR="00563708" w:rsidRPr="007123B3" w:rsidRDefault="00563708" w:rsidP="00563708">
      <w:pPr>
        <w:pStyle w:val="ListParagraph"/>
      </w:pPr>
    </w:p>
    <w:p w:rsidR="00563708" w:rsidRPr="007123B3" w:rsidRDefault="00563708" w:rsidP="00563708">
      <w:pPr>
        <w:pStyle w:val="ListParagraph"/>
        <w:numPr>
          <w:ilvl w:val="0"/>
          <w:numId w:val="2"/>
        </w:numPr>
      </w:pPr>
      <w:r w:rsidRPr="007123B3">
        <w:t>What are levels of tires making it in into NC</w:t>
      </w:r>
      <w:r w:rsidR="00462979">
        <w:t xml:space="preserve"> through intermediaries</w:t>
      </w:r>
      <w:r w:rsidR="00A4142E">
        <w:t>?</w:t>
      </w:r>
    </w:p>
    <w:p w:rsidR="00563708" w:rsidRPr="007123B3" w:rsidRDefault="00563708" w:rsidP="00563708">
      <w:pPr>
        <w:pStyle w:val="ListParagraph"/>
        <w:numPr>
          <w:ilvl w:val="0"/>
          <w:numId w:val="2"/>
        </w:numPr>
      </w:pPr>
      <w:r w:rsidRPr="007123B3">
        <w:t>Tens of thousands of tires</w:t>
      </w:r>
    </w:p>
    <w:p w:rsidR="00563708" w:rsidRPr="007123B3" w:rsidRDefault="00563708" w:rsidP="00563708">
      <w:pPr>
        <w:pStyle w:val="ListParagraph"/>
        <w:numPr>
          <w:ilvl w:val="0"/>
          <w:numId w:val="2"/>
        </w:numPr>
      </w:pPr>
      <w:r w:rsidRPr="007123B3">
        <w:t>Out of tens of millions</w:t>
      </w:r>
    </w:p>
    <w:p w:rsidR="00563708" w:rsidRPr="007123B3" w:rsidRDefault="00563708" w:rsidP="00563708">
      <w:pPr>
        <w:pStyle w:val="ListParagraph"/>
      </w:pPr>
    </w:p>
    <w:p w:rsidR="00563708" w:rsidRPr="007123B3" w:rsidRDefault="00563708" w:rsidP="00563708">
      <w:pPr>
        <w:pStyle w:val="ListParagraph"/>
        <w:numPr>
          <w:ilvl w:val="0"/>
          <w:numId w:val="2"/>
        </w:numPr>
      </w:pPr>
      <w:r w:rsidRPr="007123B3">
        <w:t xml:space="preserve"> </w:t>
      </w:r>
      <w:proofErr w:type="spellStart"/>
      <w:r w:rsidR="00462979">
        <w:t>SCt</w:t>
      </w:r>
      <w:proofErr w:type="spellEnd"/>
      <w:r w:rsidR="00462979">
        <w:t xml:space="preserve"> - </w:t>
      </w:r>
      <w:r w:rsidRPr="007123B3">
        <w:t>Not enough</w:t>
      </w:r>
    </w:p>
    <w:p w:rsidR="00563708" w:rsidRPr="007123B3" w:rsidRDefault="00563708" w:rsidP="00563708">
      <w:pPr>
        <w:pStyle w:val="ListParagraph"/>
      </w:pPr>
    </w:p>
    <w:p w:rsidR="00563708" w:rsidRPr="007123B3" w:rsidRDefault="00563708" w:rsidP="00563708">
      <w:pPr>
        <w:pStyle w:val="ListParagraph"/>
      </w:pPr>
      <w:r w:rsidRPr="007123B3">
        <w:t>test</w:t>
      </w:r>
    </w:p>
    <w:p w:rsidR="00563708" w:rsidRPr="007123B3" w:rsidRDefault="00563708" w:rsidP="00563708">
      <w:pPr>
        <w:pStyle w:val="ListParagraph"/>
      </w:pPr>
      <w:r w:rsidRPr="007123B3">
        <w:t>“For an individual, the paradigm forum for the exercise of general jurisdiction is the individual’s domicile; for a corporation, it is an equivalent place, one in which the corporation is fairly regarded as at home.”</w:t>
      </w:r>
    </w:p>
    <w:p w:rsidR="00563708" w:rsidRPr="007123B3" w:rsidRDefault="00563708" w:rsidP="00563708">
      <w:pPr>
        <w:pStyle w:val="ListParagraph"/>
        <w:numPr>
          <w:ilvl w:val="0"/>
          <w:numId w:val="2"/>
        </w:numPr>
      </w:pPr>
      <w:r w:rsidRPr="007123B3">
        <w:t>not enough to be at home</w:t>
      </w:r>
      <w:r w:rsidRPr="007123B3">
        <w:br/>
      </w:r>
    </w:p>
    <w:p w:rsidR="00563708" w:rsidRDefault="00712D0C" w:rsidP="00563708">
      <w:pPr>
        <w:spacing w:after="0" w:line="240" w:lineRule="auto"/>
      </w:pPr>
      <w:r>
        <w:t>BUT the court seems</w:t>
      </w:r>
      <w:r w:rsidR="00A4142E">
        <w:t xml:space="preserve"> to consider only general PJ</w:t>
      </w:r>
    </w:p>
    <w:p w:rsidR="00712D0C" w:rsidRPr="007123B3" w:rsidRDefault="00462979" w:rsidP="00563708">
      <w:pPr>
        <w:spacing w:after="0" w:line="240" w:lineRule="auto"/>
      </w:pPr>
      <w:r>
        <w:t>What about category PJ</w:t>
      </w:r>
    </w:p>
    <w:p w:rsidR="00563708" w:rsidRPr="007123B3" w:rsidRDefault="00563708" w:rsidP="00563708">
      <w:pPr>
        <w:numPr>
          <w:ilvl w:val="5"/>
          <w:numId w:val="1"/>
        </w:numPr>
        <w:spacing w:after="0" w:line="240" w:lineRule="auto"/>
      </w:pPr>
      <w:r w:rsidRPr="007123B3">
        <w:t xml:space="preserve">Ex Parte </w:t>
      </w:r>
      <w:proofErr w:type="spellStart"/>
      <w:r w:rsidRPr="007123B3">
        <w:t>Newco</w:t>
      </w:r>
      <w:proofErr w:type="spellEnd"/>
      <w:r w:rsidRPr="007123B3">
        <w:t xml:space="preserve"> </w:t>
      </w:r>
      <w:proofErr w:type="spellStart"/>
      <w:r w:rsidRPr="007123B3">
        <w:t>Mfg</w:t>
      </w:r>
      <w:proofErr w:type="spellEnd"/>
      <w:r w:rsidRPr="007123B3">
        <w:t>, 481 So.2d 867 (Ala. 1985)</w:t>
      </w:r>
    </w:p>
    <w:p w:rsidR="00563708" w:rsidRPr="007123B3" w:rsidRDefault="00563708" w:rsidP="00563708">
      <w:pPr>
        <w:numPr>
          <w:ilvl w:val="6"/>
          <w:numId w:val="1"/>
        </w:numPr>
        <w:spacing w:after="0" w:line="240" w:lineRule="auto"/>
      </w:pPr>
      <w:proofErr w:type="spellStart"/>
      <w:r w:rsidRPr="007123B3">
        <w:t>Ala</w:t>
      </w:r>
      <w:proofErr w:type="spellEnd"/>
      <w:r w:rsidRPr="007123B3">
        <w:t xml:space="preserve"> P (but was </w:t>
      </w:r>
      <w:proofErr w:type="spellStart"/>
      <w:r w:rsidRPr="007123B3">
        <w:t>Tenn</w:t>
      </w:r>
      <w:proofErr w:type="spellEnd"/>
      <w:r w:rsidRPr="007123B3">
        <w:t xml:space="preserve"> at time of accident) brings wro</w:t>
      </w:r>
      <w:r w:rsidR="00462979">
        <w:t xml:space="preserve">ngful death action against </w:t>
      </w:r>
      <w:proofErr w:type="spellStart"/>
      <w:r w:rsidR="00462979">
        <w:t>Newc</w:t>
      </w:r>
      <w:r w:rsidRPr="007123B3">
        <w:t>o</w:t>
      </w:r>
      <w:proofErr w:type="spellEnd"/>
      <w:r w:rsidRPr="007123B3">
        <w:t xml:space="preserve"> (Mo</w:t>
      </w:r>
      <w:r w:rsidR="00462979">
        <w:t xml:space="preserve"> D</w:t>
      </w:r>
      <w:r w:rsidRPr="007123B3">
        <w:t>) manuf</w:t>
      </w:r>
      <w:r w:rsidR="00462979">
        <w:t>acturer</w:t>
      </w:r>
      <w:r w:rsidRPr="007123B3">
        <w:t xml:space="preserve"> of thimble clamps for grist blast machine</w:t>
      </w:r>
    </w:p>
    <w:p w:rsidR="00563708" w:rsidRPr="007123B3" w:rsidRDefault="00462979" w:rsidP="00563708">
      <w:pPr>
        <w:numPr>
          <w:ilvl w:val="6"/>
          <w:numId w:val="1"/>
        </w:numPr>
        <w:spacing w:after="0" w:line="240" w:lineRule="auto"/>
      </w:pPr>
      <w:r w:rsidRPr="007123B3">
        <w:t>M</w:t>
      </w:r>
      <w:r w:rsidR="00563708" w:rsidRPr="007123B3">
        <w:t>anuf</w:t>
      </w:r>
      <w:r>
        <w:t>actured</w:t>
      </w:r>
      <w:r w:rsidR="00563708" w:rsidRPr="007123B3">
        <w:t xml:space="preserve"> in MD</w:t>
      </w:r>
    </w:p>
    <w:p w:rsidR="00563708" w:rsidRPr="007123B3" w:rsidRDefault="00563708" w:rsidP="00563708">
      <w:pPr>
        <w:numPr>
          <w:ilvl w:val="6"/>
          <w:numId w:val="1"/>
        </w:numPr>
        <w:spacing w:after="0" w:line="240" w:lineRule="auto"/>
      </w:pPr>
      <w:r w:rsidRPr="007123B3">
        <w:t>sold in MD</w:t>
      </w:r>
    </w:p>
    <w:p w:rsidR="00563708" w:rsidRPr="007123B3" w:rsidRDefault="00563708" w:rsidP="00563708">
      <w:pPr>
        <w:numPr>
          <w:ilvl w:val="6"/>
          <w:numId w:val="1"/>
        </w:numPr>
        <w:spacing w:after="0" w:line="240" w:lineRule="auto"/>
      </w:pPr>
      <w:r w:rsidRPr="007123B3">
        <w:t xml:space="preserve">caused accident in </w:t>
      </w:r>
      <w:proofErr w:type="spellStart"/>
      <w:r w:rsidRPr="007123B3">
        <w:t>Tenn</w:t>
      </w:r>
      <w:proofErr w:type="spellEnd"/>
    </w:p>
    <w:p w:rsidR="00563708" w:rsidRPr="007123B3" w:rsidRDefault="00462979" w:rsidP="00563708">
      <w:pPr>
        <w:numPr>
          <w:ilvl w:val="6"/>
          <w:numId w:val="1"/>
        </w:numPr>
        <w:spacing w:after="0" w:line="240" w:lineRule="auto"/>
      </w:pPr>
      <w:r>
        <w:t xml:space="preserve">still </w:t>
      </w:r>
      <w:proofErr w:type="spellStart"/>
      <w:r>
        <w:t>Ala</w:t>
      </w:r>
      <w:proofErr w:type="spellEnd"/>
      <w:r>
        <w:t xml:space="preserve"> </w:t>
      </w:r>
      <w:proofErr w:type="spellStart"/>
      <w:r>
        <w:t>SCt</w:t>
      </w:r>
      <w:proofErr w:type="spellEnd"/>
      <w:r>
        <w:t xml:space="preserve"> held </w:t>
      </w:r>
      <w:r w:rsidR="00563708" w:rsidRPr="007123B3">
        <w:t xml:space="preserve">sale </w:t>
      </w:r>
      <w:r>
        <w:t xml:space="preserve">of other thimble clamps in </w:t>
      </w:r>
      <w:proofErr w:type="spellStart"/>
      <w:r>
        <w:t>Ala</w:t>
      </w:r>
      <w:proofErr w:type="spellEnd"/>
      <w:r>
        <w:t xml:space="preserve"> </w:t>
      </w:r>
      <w:r w:rsidR="00563708" w:rsidRPr="007123B3">
        <w:t xml:space="preserve">are enough for </w:t>
      </w:r>
      <w:r>
        <w:t xml:space="preserve">“general” </w:t>
      </w:r>
      <w:r w:rsidR="00563708" w:rsidRPr="007123B3">
        <w:t>PJ</w:t>
      </w:r>
    </w:p>
    <w:p w:rsidR="00563708" w:rsidRPr="007123B3" w:rsidRDefault="00563708" w:rsidP="00563708">
      <w:pPr>
        <w:numPr>
          <w:ilvl w:val="5"/>
          <w:numId w:val="1"/>
        </w:numPr>
        <w:spacing w:after="0" w:line="240" w:lineRule="auto"/>
      </w:pPr>
      <w:r w:rsidRPr="007123B3">
        <w:t xml:space="preserve">We agree with </w:t>
      </w:r>
      <w:proofErr w:type="spellStart"/>
      <w:r w:rsidRPr="007123B3">
        <w:t>Newco</w:t>
      </w:r>
      <w:proofErr w:type="spellEnd"/>
      <w:r w:rsidRPr="007123B3">
        <w:t xml:space="preserve"> that, because the allegedly defective clamps were not sold in Alabama and because the decedent's fatal accident did not occur in Alabama, the instant lawsuit does not relate to or arise from </w:t>
      </w:r>
      <w:proofErr w:type="spellStart"/>
      <w:r w:rsidRPr="007123B3">
        <w:t>Newco's</w:t>
      </w:r>
      <w:proofErr w:type="spellEnd"/>
      <w:r w:rsidRPr="007123B3">
        <w:t xml:space="preserve"> contacts with Alabama; therefore, </w:t>
      </w:r>
      <w:proofErr w:type="spellStart"/>
      <w:r w:rsidRPr="007123B3">
        <w:t>Newco</w:t>
      </w:r>
      <w:proofErr w:type="spellEnd"/>
      <w:r w:rsidRPr="007123B3">
        <w:t xml:space="preserve"> is not subject to “specific” jurisdiction in Alabama</w:t>
      </w:r>
      <w:hyperlink r:id="rId5" w:tgtFrame="_top" w:history="1"/>
      <w:r w:rsidRPr="007123B3">
        <w:t xml:space="preserve">. We must determine, then, whether sufficient contacts exist between Alabama and </w:t>
      </w:r>
      <w:proofErr w:type="spellStart"/>
      <w:r w:rsidRPr="007123B3">
        <w:t>Newco</w:t>
      </w:r>
      <w:proofErr w:type="spellEnd"/>
      <w:r w:rsidRPr="007123B3">
        <w:t xml:space="preserve"> so that due process is not offended in subjecting </w:t>
      </w:r>
      <w:proofErr w:type="spellStart"/>
      <w:r w:rsidRPr="007123B3">
        <w:t>Newco</w:t>
      </w:r>
      <w:proofErr w:type="spellEnd"/>
      <w:r w:rsidRPr="007123B3">
        <w:t xml:space="preserve"> to Alabama's “general” jurisdiction. In other words, the nature of the contacts between the forum state and the party over whom jurisdiction is sought must be examined to determine whether those contacts constitute continuous and </w:t>
      </w:r>
      <w:r w:rsidRPr="007123B3">
        <w:lastRenderedPageBreak/>
        <w:t xml:space="preserve">systematic general business contacts which would support a reasonable exercise of jurisdiction by the forum state. </w:t>
      </w:r>
      <w:r w:rsidRPr="007123B3">
        <w:rPr>
          <w:u w:val="single"/>
        </w:rPr>
        <w:br/>
      </w:r>
      <w:r w:rsidRPr="007123B3">
        <w:rPr>
          <w:u w:val="single"/>
        </w:rPr>
        <w:br/>
      </w:r>
      <w:r w:rsidRPr="007123B3">
        <w:t xml:space="preserve">We find that </w:t>
      </w:r>
      <w:proofErr w:type="spellStart"/>
      <w:r w:rsidRPr="007123B3">
        <w:t>Newco</w:t>
      </w:r>
      <w:proofErr w:type="spellEnd"/>
      <w:r w:rsidRPr="007123B3">
        <w:t xml:space="preserve"> engages in that continuous and systematic course of conduct in Alabama, albeit through an independent manufacturer's representative or the telephone and mail services, that will support a reasonable exercise of jurisdiction by the courts of Alabama. </w:t>
      </w:r>
      <w:proofErr w:type="spellStart"/>
      <w:r w:rsidRPr="007123B3">
        <w:t>Newco's</w:t>
      </w:r>
      <w:proofErr w:type="spellEnd"/>
      <w:r w:rsidRPr="007123B3">
        <w:t xml:space="preserve"> annual sales in Alabama during the period of January 1979 to December 1984 ranged from $65,000 to $85,000, with a total of 2,000 transactions. </w:t>
      </w:r>
      <w:proofErr w:type="spellStart"/>
      <w:r w:rsidRPr="007123B3">
        <w:t>Newco's</w:t>
      </w:r>
      <w:proofErr w:type="spellEnd"/>
      <w:r w:rsidRPr="007123B3">
        <w:t xml:space="preserve"> contacts with Alabama are deliberate rather than fortuitous and, therefore, it was reasonably foreseeable that </w:t>
      </w:r>
      <w:proofErr w:type="spellStart"/>
      <w:r w:rsidRPr="007123B3">
        <w:t>Newco</w:t>
      </w:r>
      <w:proofErr w:type="spellEnd"/>
      <w:r w:rsidRPr="007123B3">
        <w:t xml:space="preserve">, in purposefully doing business in Alabama, would at some point both need the protection and invoke the jurisdiction of the courts of Alabama. </w:t>
      </w:r>
      <w:proofErr w:type="spellStart"/>
      <w:r w:rsidRPr="007123B3">
        <w:t>Newco</w:t>
      </w:r>
      <w:proofErr w:type="spellEnd"/>
      <w:r w:rsidRPr="007123B3">
        <w:t xml:space="preserve"> avails itself of the privilege of making sales (and profits) in Alabama in a continuous and systematic course of merchandising. For the privilege of conducting such activities, </w:t>
      </w:r>
      <w:proofErr w:type="spellStart"/>
      <w:r w:rsidRPr="007123B3">
        <w:t>Newco</w:t>
      </w:r>
      <w:proofErr w:type="spellEnd"/>
      <w:r w:rsidRPr="007123B3">
        <w:t xml:space="preserve"> must bear the burden commensurate with the benefits received from its sales in Alabama.</w:t>
      </w:r>
    </w:p>
    <w:p w:rsidR="00563708" w:rsidRDefault="00563708" w:rsidP="00563708"/>
    <w:p w:rsidR="00462979" w:rsidRPr="007123B3" w:rsidRDefault="00462979" w:rsidP="00A4142E">
      <w:r>
        <w:t xml:space="preserve">NOTE: this was probably </w:t>
      </w:r>
      <w:r w:rsidR="00A4142E">
        <w:t>a case of c</w:t>
      </w:r>
      <w:r>
        <w:t>ategory</w:t>
      </w:r>
      <w:r w:rsidR="00A4142E">
        <w:t>, not general,</w:t>
      </w:r>
      <w:r>
        <w:t xml:space="preserve"> jurisdiction</w:t>
      </w:r>
      <w:r w:rsidR="00A4142E">
        <w:t xml:space="preserve">: </w:t>
      </w:r>
      <w:r>
        <w:t xml:space="preserve">Not likely that </w:t>
      </w:r>
      <w:proofErr w:type="spellStart"/>
      <w:r>
        <w:t>Ala</w:t>
      </w:r>
      <w:proofErr w:type="spellEnd"/>
      <w:r>
        <w:t xml:space="preserve"> </w:t>
      </w:r>
      <w:proofErr w:type="spellStart"/>
      <w:r>
        <w:t>SCt</w:t>
      </w:r>
      <w:proofErr w:type="spellEnd"/>
      <w:r>
        <w:t xml:space="preserve"> thought </w:t>
      </w:r>
      <w:proofErr w:type="spellStart"/>
      <w:r>
        <w:t>Newco</w:t>
      </w:r>
      <w:proofErr w:type="spellEnd"/>
      <w:r>
        <w:t xml:space="preserve"> could be submitted to PJ in </w:t>
      </w:r>
      <w:proofErr w:type="spellStart"/>
      <w:r>
        <w:t>Ala</w:t>
      </w:r>
      <w:proofErr w:type="spellEnd"/>
      <w:r>
        <w:t xml:space="preserve"> for any cause of action, only causes of action concerning thimble clamps</w:t>
      </w:r>
    </w:p>
    <w:p w:rsidR="00563708" w:rsidRDefault="00563708" w:rsidP="00563708">
      <w:pPr>
        <w:pStyle w:val="NormalWeb"/>
        <w:numPr>
          <w:ilvl w:val="0"/>
          <w:numId w:val="1"/>
        </w:numPr>
      </w:pPr>
      <w:r>
        <w:t xml:space="preserve">Any distinction between </w:t>
      </w:r>
      <w:proofErr w:type="spellStart"/>
      <w:r w:rsidR="00462979">
        <w:t>Newco</w:t>
      </w:r>
      <w:proofErr w:type="spellEnd"/>
      <w:r>
        <w:t xml:space="preserve"> and Goodyear?</w:t>
      </w:r>
    </w:p>
    <w:p w:rsidR="00563708" w:rsidRDefault="00462979" w:rsidP="00563708">
      <w:pPr>
        <w:pStyle w:val="NormalWeb"/>
        <w:numPr>
          <w:ilvl w:val="0"/>
          <w:numId w:val="1"/>
        </w:numPr>
      </w:pPr>
      <w:proofErr w:type="gramStart"/>
      <w:r>
        <w:t>greater</w:t>
      </w:r>
      <w:proofErr w:type="gramEnd"/>
      <w:r w:rsidR="00563708" w:rsidRPr="007123B3">
        <w:t xml:space="preserve"> volume of sales</w:t>
      </w:r>
      <w:r>
        <w:t xml:space="preserve"> in forum state in </w:t>
      </w:r>
      <w:proofErr w:type="spellStart"/>
      <w:r>
        <w:t>Newco</w:t>
      </w:r>
      <w:proofErr w:type="spellEnd"/>
      <w:r>
        <w:t>? Greater percentage</w:t>
      </w:r>
      <w:r w:rsidR="00A4142E">
        <w:t xml:space="preserve"> of </w:t>
      </w:r>
      <w:proofErr w:type="spellStart"/>
      <w:r w:rsidR="00A4142E">
        <w:t>corp’s</w:t>
      </w:r>
      <w:proofErr w:type="spellEnd"/>
      <w:r w:rsidR="00A4142E">
        <w:t xml:space="preserve"> sales in forum state</w:t>
      </w:r>
      <w:r>
        <w:t>?</w:t>
      </w:r>
    </w:p>
    <w:p w:rsidR="00712D0C" w:rsidRDefault="00462979" w:rsidP="002C071B">
      <w:pPr>
        <w:pStyle w:val="NormalWeb"/>
        <w:numPr>
          <w:ilvl w:val="0"/>
          <w:numId w:val="1"/>
        </w:numPr>
      </w:pPr>
      <w:r>
        <w:t xml:space="preserve">Same type </w:t>
      </w:r>
      <w:r w:rsidR="00A4142E">
        <w:t>of item that caused</w:t>
      </w:r>
      <w:r>
        <w:t xml:space="preserve"> the accident was sold in the forum state in </w:t>
      </w:r>
      <w:proofErr w:type="spellStart"/>
      <w:r>
        <w:t>Newco</w:t>
      </w:r>
      <w:proofErr w:type="spellEnd"/>
      <w:r>
        <w:t xml:space="preserve"> – not so in Goodyear</w:t>
      </w:r>
      <w:r w:rsidR="00A4142E">
        <w:t>?</w:t>
      </w:r>
    </w:p>
    <w:p w:rsidR="002C071B" w:rsidRDefault="00A4142E" w:rsidP="002C071B">
      <w:pPr>
        <w:pStyle w:val="NormalWeb"/>
        <w:ind w:left="720"/>
      </w:pPr>
      <w:r>
        <w:t>Let’s set up an even better case for category PJ</w:t>
      </w:r>
    </w:p>
    <w:p w:rsidR="00563708" w:rsidRDefault="00563708" w:rsidP="00563708">
      <w:pPr>
        <w:pStyle w:val="NormalWeb"/>
        <w:numPr>
          <w:ilvl w:val="0"/>
          <w:numId w:val="1"/>
        </w:numPr>
      </w:pPr>
      <w:r>
        <w:t xml:space="preserve">The D Corp is incorporated and has all of its employees and factories in New York </w:t>
      </w:r>
    </w:p>
    <w:p w:rsidR="00563708" w:rsidRDefault="00563708" w:rsidP="00563708">
      <w:pPr>
        <w:pStyle w:val="NormalWeb"/>
        <w:numPr>
          <w:ilvl w:val="1"/>
          <w:numId w:val="1"/>
        </w:numPr>
      </w:pPr>
      <w:r>
        <w:t>It makes skateboards</w:t>
      </w:r>
    </w:p>
    <w:p w:rsidR="00563708" w:rsidRDefault="00563708" w:rsidP="00563708">
      <w:pPr>
        <w:pStyle w:val="NormalWeb"/>
        <w:numPr>
          <w:ilvl w:val="1"/>
          <w:numId w:val="1"/>
        </w:numPr>
      </w:pPr>
      <w:r>
        <w:t>However 90% of its product are sold (through Amazon) in California</w:t>
      </w:r>
    </w:p>
    <w:p w:rsidR="00563708" w:rsidRDefault="00563708" w:rsidP="00563708">
      <w:pPr>
        <w:pStyle w:val="NormalWeb"/>
        <w:numPr>
          <w:ilvl w:val="1"/>
          <w:numId w:val="1"/>
        </w:numPr>
      </w:pPr>
      <w:r>
        <w:t>P (a domiciliary of California) was harmed by a defective skateboard owned by the NC event organizer in a competition in NC</w:t>
      </w:r>
    </w:p>
    <w:p w:rsidR="00563708" w:rsidRDefault="00563708" w:rsidP="00563708">
      <w:pPr>
        <w:pStyle w:val="NormalWeb"/>
        <w:numPr>
          <w:ilvl w:val="1"/>
          <w:numId w:val="1"/>
        </w:numPr>
      </w:pPr>
      <w:r>
        <w:t>The skateboard was sold to the organizer in NC</w:t>
      </w:r>
    </w:p>
    <w:p w:rsidR="00563708" w:rsidRDefault="002C071B" w:rsidP="00563708">
      <w:pPr>
        <w:pStyle w:val="NormalWeb"/>
        <w:numPr>
          <w:ilvl w:val="1"/>
          <w:numId w:val="1"/>
        </w:numPr>
      </w:pPr>
      <w:r>
        <w:t>This type of skateboard is</w:t>
      </w:r>
      <w:r w:rsidR="00563708">
        <w:t xml:space="preserve"> sold in CA</w:t>
      </w:r>
    </w:p>
    <w:p w:rsidR="00563708" w:rsidRDefault="00563708" w:rsidP="00563708">
      <w:pPr>
        <w:pStyle w:val="NormalWeb"/>
        <w:numPr>
          <w:ilvl w:val="1"/>
          <w:numId w:val="1"/>
        </w:numPr>
      </w:pPr>
      <w:r>
        <w:t>P sues D in state court in CA – PJ?</w:t>
      </w:r>
    </w:p>
    <w:p w:rsidR="00563708" w:rsidRPr="002C071B" w:rsidRDefault="002C071B" w:rsidP="002C071B">
      <w:pPr>
        <w:pStyle w:val="NormalWeb"/>
        <w:numPr>
          <w:ilvl w:val="1"/>
          <w:numId w:val="1"/>
        </w:numPr>
      </w:pPr>
      <w:r>
        <w:t xml:space="preserve">here we have lots of the same item sold in the forum state – especially good case for </w:t>
      </w:r>
      <w:r w:rsidR="00563708" w:rsidRPr="002C071B">
        <w:t>category jurisdiction</w:t>
      </w:r>
    </w:p>
    <w:p w:rsidR="002C071B" w:rsidRDefault="002C071B" w:rsidP="002C071B">
      <w:pPr>
        <w:pStyle w:val="NormalWeb"/>
        <w:numPr>
          <w:ilvl w:val="2"/>
          <w:numId w:val="1"/>
        </w:numPr>
      </w:pPr>
      <w:r w:rsidRPr="002C071B">
        <w:lastRenderedPageBreak/>
        <w:t>stil</w:t>
      </w:r>
      <w:r>
        <w:t>l not clear that even this would be permissible under Goodyear</w:t>
      </w:r>
    </w:p>
    <w:p w:rsidR="002C071B" w:rsidRPr="002C071B" w:rsidRDefault="002C071B" w:rsidP="002C071B">
      <w:pPr>
        <w:pStyle w:val="NormalWeb"/>
        <w:numPr>
          <w:ilvl w:val="2"/>
          <w:numId w:val="1"/>
        </w:numPr>
      </w:pPr>
      <w:r>
        <w:t>and even less likely given Daimler</w:t>
      </w:r>
    </w:p>
    <w:p w:rsidR="00C57640" w:rsidRDefault="00C57640"/>
    <w:p w:rsidR="00563708" w:rsidRDefault="00563708">
      <w:pPr>
        <w:rPr>
          <w:b/>
        </w:rPr>
      </w:pPr>
      <w:r w:rsidRPr="00712D0C">
        <w:rPr>
          <w:b/>
        </w:rPr>
        <w:t>Daimler</w:t>
      </w:r>
    </w:p>
    <w:p w:rsidR="00061DD9" w:rsidRPr="00712D0C" w:rsidRDefault="00061DD9">
      <w:pPr>
        <w:rPr>
          <w:b/>
        </w:rPr>
      </w:pPr>
      <w:r>
        <w:rPr>
          <w:b/>
        </w:rPr>
        <w:t>Ginsburg</w:t>
      </w:r>
      <w:r w:rsidR="00A4142E">
        <w:rPr>
          <w:b/>
        </w:rPr>
        <w:t>’s opinion</w:t>
      </w:r>
    </w:p>
    <w:p w:rsidR="00563708" w:rsidRDefault="00A4142E">
      <w:r>
        <w:t xml:space="preserve">Suit in </w:t>
      </w:r>
      <w:r w:rsidR="002C071B">
        <w:t xml:space="preserve">federal court - </w:t>
      </w:r>
      <w:r w:rsidR="00563708">
        <w:t>ND Cal.</w:t>
      </w:r>
    </w:p>
    <w:p w:rsidR="00563708" w:rsidRDefault="002C071B">
      <w:r>
        <w:t xml:space="preserve">Ps are </w:t>
      </w:r>
      <w:r w:rsidR="00563708">
        <w:t>22 Argentinians</w:t>
      </w:r>
    </w:p>
    <w:p w:rsidR="00563708" w:rsidRDefault="002C071B" w:rsidP="00563708">
      <w:pPr>
        <w:pStyle w:val="ListParagraph"/>
        <w:numPr>
          <w:ilvl w:val="0"/>
          <w:numId w:val="1"/>
        </w:numPr>
      </w:pPr>
      <w:r>
        <w:t xml:space="preserve">D is </w:t>
      </w:r>
      <w:r w:rsidR="00563708">
        <w:t>Daimler – Germany</w:t>
      </w:r>
    </w:p>
    <w:p w:rsidR="00563708" w:rsidRDefault="002C071B" w:rsidP="002C071B">
      <w:r>
        <w:t>Suit for torture and other atrocities</w:t>
      </w:r>
      <w:r w:rsidR="00563708">
        <w:t xml:space="preserve"> during dirty war</w:t>
      </w:r>
      <w:r>
        <w:t xml:space="preserve"> brought about by its agent - Mercedes Benz Argentina</w:t>
      </w:r>
      <w:r w:rsidR="000174D9">
        <w:t xml:space="preserve"> (MB-</w:t>
      </w:r>
      <w:proofErr w:type="spellStart"/>
      <w:r w:rsidR="000174D9">
        <w:t>Arg</w:t>
      </w:r>
      <w:proofErr w:type="spellEnd"/>
      <w:r w:rsidR="000174D9">
        <w:t>)</w:t>
      </w:r>
    </w:p>
    <w:p w:rsidR="00563708" w:rsidRDefault="00563708" w:rsidP="00563708">
      <w:pPr>
        <w:pStyle w:val="ListParagraph"/>
        <w:numPr>
          <w:ilvl w:val="0"/>
          <w:numId w:val="1"/>
        </w:numPr>
      </w:pPr>
      <w:r>
        <w:t>Vicarious liability</w:t>
      </w:r>
    </w:p>
    <w:p w:rsidR="00563708" w:rsidRDefault="00563708" w:rsidP="00563708">
      <w:r>
        <w:t>Why is there SMJ?</w:t>
      </w:r>
    </w:p>
    <w:p w:rsidR="00563708" w:rsidRDefault="00563708" w:rsidP="000A6593">
      <w:pPr>
        <w:pStyle w:val="ListParagraph"/>
        <w:numPr>
          <w:ilvl w:val="0"/>
          <w:numId w:val="1"/>
        </w:numPr>
      </w:pPr>
      <w:r>
        <w:t>Cause of action under Alien Tort Statute</w:t>
      </w:r>
    </w:p>
    <w:p w:rsidR="002C071B" w:rsidRDefault="002C071B" w:rsidP="00652FA3">
      <w:pPr>
        <w:pStyle w:val="ListParagraph"/>
      </w:pPr>
    </w:p>
    <w:p w:rsidR="00AD1FE8" w:rsidRDefault="00AD1FE8" w:rsidP="00AD1FE8">
      <w:r>
        <w:t>28 U.S. Code § 1350 - Alien’s action for tort</w:t>
      </w:r>
    </w:p>
    <w:p w:rsidR="00AD1FE8" w:rsidRDefault="00AD1FE8" w:rsidP="00AD1FE8">
      <w:r>
        <w:t>The district courts shall have original jurisdiction of any civil action by an alien for a tort only, committed in violation of the law of nations or a treaty of the United States.</w:t>
      </w:r>
    </w:p>
    <w:p w:rsidR="00EF3149" w:rsidRDefault="000174D9" w:rsidP="000174D9">
      <w:pPr>
        <w:pStyle w:val="ListParagraph"/>
        <w:numPr>
          <w:ilvl w:val="0"/>
          <w:numId w:val="1"/>
        </w:numPr>
      </w:pPr>
      <w:r>
        <w:t xml:space="preserve">This gives jurisdiction in federal court – the </w:t>
      </w:r>
      <w:r w:rsidR="00652FA3">
        <w:t xml:space="preserve">relevant </w:t>
      </w:r>
      <w:proofErr w:type="spellStart"/>
      <w:r w:rsidR="00652FA3">
        <w:t>tport</w:t>
      </w:r>
      <w:proofErr w:type="spellEnd"/>
      <w:r>
        <w:t xml:space="preserve"> in Daimler was that the law of nations (in particular, c</w:t>
      </w:r>
      <w:r w:rsidR="00EF3149">
        <w:t>ustomary international law</w:t>
      </w:r>
      <w:r>
        <w:t>) was violated by MB-</w:t>
      </w:r>
      <w:proofErr w:type="spellStart"/>
      <w:r>
        <w:t>Arg’s</w:t>
      </w:r>
      <w:proofErr w:type="spellEnd"/>
      <w:r>
        <w:t xml:space="preserve"> actions</w:t>
      </w:r>
    </w:p>
    <w:p w:rsidR="000174D9" w:rsidRDefault="000174D9" w:rsidP="000174D9">
      <w:pPr>
        <w:pStyle w:val="ListParagraph"/>
        <w:numPr>
          <w:ilvl w:val="0"/>
          <w:numId w:val="1"/>
        </w:numPr>
      </w:pPr>
      <w:r>
        <w:t>why is</w:t>
      </w:r>
      <w:r w:rsidR="00057093">
        <w:t xml:space="preserve"> this </w:t>
      </w:r>
      <w:r w:rsidR="00652FA3">
        <w:t xml:space="preserve">tort </w:t>
      </w:r>
      <w:r w:rsidR="00057093">
        <w:t>an action that Con</w:t>
      </w:r>
      <w:r w:rsidR="00652FA3">
        <w:t>gress can send to federal court</w:t>
      </w:r>
    </w:p>
    <w:p w:rsidR="00057093" w:rsidRDefault="00057093" w:rsidP="00057093">
      <w:pPr>
        <w:pStyle w:val="ListParagraph"/>
        <w:numPr>
          <w:ilvl w:val="1"/>
          <w:numId w:val="1"/>
        </w:numPr>
      </w:pPr>
      <w:r>
        <w:t>Not alienage or diversity</w:t>
      </w:r>
    </w:p>
    <w:p w:rsidR="00057093" w:rsidRDefault="00057093" w:rsidP="00057093">
      <w:pPr>
        <w:pStyle w:val="ListParagraph"/>
        <w:numPr>
          <w:ilvl w:val="1"/>
          <w:numId w:val="1"/>
        </w:numPr>
      </w:pPr>
      <w:r>
        <w:t>Must be arising under</w:t>
      </w:r>
    </w:p>
    <w:p w:rsidR="00AD1FE8" w:rsidRDefault="00057093" w:rsidP="00AD1FE8">
      <w:pPr>
        <w:pStyle w:val="ListParagraph"/>
        <w:numPr>
          <w:ilvl w:val="0"/>
          <w:numId w:val="1"/>
        </w:numPr>
      </w:pPr>
      <w:r>
        <w:t>In fact, l</w:t>
      </w:r>
      <w:r w:rsidR="00AD1FE8">
        <w:t xml:space="preserve">aw of nations is </w:t>
      </w:r>
      <w:r w:rsidR="00652FA3">
        <w:t xml:space="preserve">considered </w:t>
      </w:r>
      <w:r w:rsidR="00AD1FE8">
        <w:t>federal common law</w:t>
      </w:r>
    </w:p>
    <w:p w:rsidR="00057093" w:rsidRDefault="00057093" w:rsidP="00AD1FE8">
      <w:pPr>
        <w:pStyle w:val="ListParagraph"/>
        <w:numPr>
          <w:ilvl w:val="0"/>
          <w:numId w:val="1"/>
        </w:numPr>
      </w:pPr>
      <w:r>
        <w:t>NOTE a year before Daimler was decided (but after the Daimler case was filed</w:t>
      </w:r>
      <w:r w:rsidR="00652FA3">
        <w:t>)</w:t>
      </w:r>
      <w:r>
        <w:t xml:space="preserve">, the </w:t>
      </w:r>
      <w:proofErr w:type="spellStart"/>
      <w:r>
        <w:t>SCt</w:t>
      </w:r>
      <w:proofErr w:type="spellEnd"/>
      <w:r>
        <w:t xml:space="preserve"> held in </w:t>
      </w:r>
      <w:proofErr w:type="spellStart"/>
      <w:r w:rsidRPr="00057093">
        <w:t>Kiobel</w:t>
      </w:r>
      <w:proofErr w:type="spellEnd"/>
      <w:r w:rsidRPr="00057093">
        <w:t xml:space="preserve"> v. Royal Dutch Petroleum</w:t>
      </w:r>
      <w:r>
        <w:t xml:space="preserve"> that the Alien Tort Statute d</w:t>
      </w:r>
      <w:r w:rsidR="00527370">
        <w:t xml:space="preserve">oes not apply to activities in </w:t>
      </w:r>
      <w:r>
        <w:t xml:space="preserve">other countries </w:t>
      </w:r>
      <w:r w:rsidR="00CA24EA">
        <w:t>– only in US or on high seas</w:t>
      </w:r>
    </w:p>
    <w:p w:rsidR="00652FA3" w:rsidRDefault="00652FA3" w:rsidP="00652FA3">
      <w:pPr>
        <w:pStyle w:val="ListParagraph"/>
        <w:numPr>
          <w:ilvl w:val="1"/>
          <w:numId w:val="1"/>
        </w:numPr>
      </w:pPr>
      <w:r>
        <w:t xml:space="preserve">So even if there was PJ the action would have been dismissed </w:t>
      </w:r>
    </w:p>
    <w:p w:rsidR="00CA24EA" w:rsidRDefault="00CA24EA" w:rsidP="00CA24EA">
      <w:pPr>
        <w:pStyle w:val="ListParagraph"/>
      </w:pPr>
    </w:p>
    <w:p w:rsidR="00057093" w:rsidRDefault="00057093" w:rsidP="00057093">
      <w:pPr>
        <w:pStyle w:val="ListParagraph"/>
      </w:pPr>
    </w:p>
    <w:p w:rsidR="00057093" w:rsidRDefault="00057093" w:rsidP="00057093">
      <w:pPr>
        <w:pStyle w:val="ListParagraph"/>
        <w:numPr>
          <w:ilvl w:val="0"/>
          <w:numId w:val="1"/>
        </w:numPr>
      </w:pPr>
      <w:r>
        <w:t xml:space="preserve">There was also another federal law sued under - </w:t>
      </w:r>
      <w:r>
        <w:t xml:space="preserve">Torture Victim Protection Act of 1991 </w:t>
      </w:r>
    </w:p>
    <w:p w:rsidR="00CA24EA" w:rsidRDefault="00CA24EA" w:rsidP="00CA24EA">
      <w:pPr>
        <w:pStyle w:val="ListParagraph"/>
        <w:numPr>
          <w:ilvl w:val="1"/>
          <w:numId w:val="1"/>
        </w:numPr>
      </w:pPr>
      <w:r>
        <w:t xml:space="preserve">But the </w:t>
      </w:r>
      <w:proofErr w:type="spellStart"/>
      <w:r>
        <w:t>SCt</w:t>
      </w:r>
      <w:proofErr w:type="spellEnd"/>
      <w:r>
        <w:t xml:space="preserve"> also held that it does not apply to corporations</w:t>
      </w:r>
    </w:p>
    <w:p w:rsidR="00CA24EA" w:rsidRDefault="00CA24EA" w:rsidP="00CA24EA">
      <w:pPr>
        <w:pStyle w:val="ListParagraph"/>
        <w:ind w:left="1440"/>
      </w:pPr>
    </w:p>
    <w:p w:rsidR="00CA24EA" w:rsidRDefault="00CA24EA" w:rsidP="00CA24EA">
      <w:pPr>
        <w:pStyle w:val="ListParagraph"/>
        <w:numPr>
          <w:ilvl w:val="0"/>
          <w:numId w:val="1"/>
        </w:numPr>
      </w:pPr>
      <w:r>
        <w:t>So in the end the plaint</w:t>
      </w:r>
      <w:r w:rsidR="00652FA3">
        <w:t>iffs would have lost</w:t>
      </w:r>
    </w:p>
    <w:p w:rsidR="00CA24EA" w:rsidRDefault="00CA24EA" w:rsidP="00CA24EA">
      <w:pPr>
        <w:pStyle w:val="ListParagraph"/>
        <w:numPr>
          <w:ilvl w:val="0"/>
          <w:numId w:val="1"/>
        </w:numPr>
      </w:pPr>
      <w:r>
        <w:lastRenderedPageBreak/>
        <w:t xml:space="preserve">But </w:t>
      </w:r>
      <w:r w:rsidR="00652FA3">
        <w:t>what about</w:t>
      </w:r>
      <w:r>
        <w:t xml:space="preserve"> PJ</w:t>
      </w:r>
      <w:r w:rsidR="00652FA3">
        <w:t>?</w:t>
      </w:r>
    </w:p>
    <w:p w:rsidR="00CA24EA" w:rsidRDefault="00CA24EA" w:rsidP="00652FA3">
      <w:pPr>
        <w:pStyle w:val="ListParagraph"/>
      </w:pPr>
    </w:p>
    <w:p w:rsidR="0004779B" w:rsidRDefault="00652FA3" w:rsidP="0004779B">
      <w:pPr>
        <w:pStyle w:val="ListParagraph"/>
        <w:numPr>
          <w:ilvl w:val="0"/>
          <w:numId w:val="1"/>
        </w:numPr>
      </w:pPr>
      <w:r>
        <w:t>Why are we</w:t>
      </w:r>
      <w:r w:rsidR="00CA24EA">
        <w:t xml:space="preserve"> concerned with whether a Calif. court</w:t>
      </w:r>
      <w:r w:rsidR="0004779B">
        <w:t xml:space="preserve"> </w:t>
      </w:r>
      <w:r w:rsidR="00CA24EA">
        <w:t>will have PJ under the</w:t>
      </w:r>
      <w:r w:rsidR="0004779B">
        <w:t xml:space="preserve"> 14</w:t>
      </w:r>
      <w:r w:rsidR="0004779B" w:rsidRPr="0004779B">
        <w:rPr>
          <w:vertAlign w:val="superscript"/>
        </w:rPr>
        <w:t>th</w:t>
      </w:r>
      <w:r w:rsidR="0004779B">
        <w:t xml:space="preserve"> A?</w:t>
      </w:r>
    </w:p>
    <w:p w:rsidR="0004779B" w:rsidRDefault="00CA24EA" w:rsidP="0004779B">
      <w:pPr>
        <w:pStyle w:val="ListParagraph"/>
        <w:numPr>
          <w:ilvl w:val="0"/>
          <w:numId w:val="1"/>
        </w:numPr>
      </w:pPr>
      <w:r>
        <w:t>Because of FRCP 4(k)(1)(A)</w:t>
      </w:r>
    </w:p>
    <w:p w:rsidR="0004779B" w:rsidRDefault="00652FA3" w:rsidP="00652FA3">
      <w:pPr>
        <w:pStyle w:val="ListParagraph"/>
        <w:numPr>
          <w:ilvl w:val="0"/>
          <w:numId w:val="1"/>
        </w:numPr>
      </w:pPr>
      <w:r>
        <w:t>Federal court can assert PJ only if state court where federal court is located could</w:t>
      </w:r>
    </w:p>
    <w:p w:rsidR="00A67B8E" w:rsidRPr="006C315F" w:rsidRDefault="00A67B8E" w:rsidP="00652FA3">
      <w:pPr>
        <w:pStyle w:val="ListParagraph"/>
        <w:rPr>
          <w:rFonts w:ascii="Helvetica" w:hAnsi="Helvetica" w:cs="Helvetica"/>
          <w:color w:val="333333"/>
          <w:sz w:val="21"/>
          <w:szCs w:val="21"/>
          <w:lang w:val="en"/>
        </w:rPr>
      </w:pPr>
      <w:bookmarkStart w:id="0" w:name="_GoBack"/>
      <w:bookmarkEnd w:id="0"/>
    </w:p>
    <w:sectPr w:rsidR="00A67B8E" w:rsidRPr="006C3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D0D61"/>
    <w:multiLevelType w:val="hybridMultilevel"/>
    <w:tmpl w:val="0BF4E8F4"/>
    <w:lvl w:ilvl="0" w:tplc="8D18460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1512BA"/>
    <w:multiLevelType w:val="hybridMultilevel"/>
    <w:tmpl w:val="26920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EA3774"/>
    <w:multiLevelType w:val="hybridMultilevel"/>
    <w:tmpl w:val="C3BC9CC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6A065B"/>
    <w:multiLevelType w:val="hybridMultilevel"/>
    <w:tmpl w:val="FFA88268"/>
    <w:lvl w:ilvl="0" w:tplc="3EE0645C">
      <w:start w:val="1"/>
      <w:numFmt w:val="bullet"/>
      <w:lvlText w:val="•"/>
      <w:lvlJc w:val="left"/>
      <w:pPr>
        <w:tabs>
          <w:tab w:val="num" w:pos="720"/>
        </w:tabs>
        <w:ind w:left="720" w:hanging="360"/>
      </w:pPr>
      <w:rPr>
        <w:rFonts w:ascii="Times New Roman" w:hAnsi="Times New Roman" w:hint="default"/>
      </w:rPr>
    </w:lvl>
    <w:lvl w:ilvl="1" w:tplc="76FCFDFC" w:tentative="1">
      <w:start w:val="1"/>
      <w:numFmt w:val="bullet"/>
      <w:lvlText w:val="•"/>
      <w:lvlJc w:val="left"/>
      <w:pPr>
        <w:tabs>
          <w:tab w:val="num" w:pos="1440"/>
        </w:tabs>
        <w:ind w:left="1440" w:hanging="360"/>
      </w:pPr>
      <w:rPr>
        <w:rFonts w:ascii="Times New Roman" w:hAnsi="Times New Roman" w:hint="default"/>
      </w:rPr>
    </w:lvl>
    <w:lvl w:ilvl="2" w:tplc="65A61A68" w:tentative="1">
      <w:start w:val="1"/>
      <w:numFmt w:val="bullet"/>
      <w:lvlText w:val="•"/>
      <w:lvlJc w:val="left"/>
      <w:pPr>
        <w:tabs>
          <w:tab w:val="num" w:pos="2160"/>
        </w:tabs>
        <w:ind w:left="2160" w:hanging="360"/>
      </w:pPr>
      <w:rPr>
        <w:rFonts w:ascii="Times New Roman" w:hAnsi="Times New Roman" w:hint="default"/>
      </w:rPr>
    </w:lvl>
    <w:lvl w:ilvl="3" w:tplc="51906CCC" w:tentative="1">
      <w:start w:val="1"/>
      <w:numFmt w:val="bullet"/>
      <w:lvlText w:val="•"/>
      <w:lvlJc w:val="left"/>
      <w:pPr>
        <w:tabs>
          <w:tab w:val="num" w:pos="2880"/>
        </w:tabs>
        <w:ind w:left="2880" w:hanging="360"/>
      </w:pPr>
      <w:rPr>
        <w:rFonts w:ascii="Times New Roman" w:hAnsi="Times New Roman" w:hint="default"/>
      </w:rPr>
    </w:lvl>
    <w:lvl w:ilvl="4" w:tplc="3E1C2E48" w:tentative="1">
      <w:start w:val="1"/>
      <w:numFmt w:val="bullet"/>
      <w:lvlText w:val="•"/>
      <w:lvlJc w:val="left"/>
      <w:pPr>
        <w:tabs>
          <w:tab w:val="num" w:pos="3600"/>
        </w:tabs>
        <w:ind w:left="3600" w:hanging="360"/>
      </w:pPr>
      <w:rPr>
        <w:rFonts w:ascii="Times New Roman" w:hAnsi="Times New Roman" w:hint="default"/>
      </w:rPr>
    </w:lvl>
    <w:lvl w:ilvl="5" w:tplc="EBB2A7E0" w:tentative="1">
      <w:start w:val="1"/>
      <w:numFmt w:val="bullet"/>
      <w:lvlText w:val="•"/>
      <w:lvlJc w:val="left"/>
      <w:pPr>
        <w:tabs>
          <w:tab w:val="num" w:pos="4320"/>
        </w:tabs>
        <w:ind w:left="4320" w:hanging="360"/>
      </w:pPr>
      <w:rPr>
        <w:rFonts w:ascii="Times New Roman" w:hAnsi="Times New Roman" w:hint="default"/>
      </w:rPr>
    </w:lvl>
    <w:lvl w:ilvl="6" w:tplc="C9601C84" w:tentative="1">
      <w:start w:val="1"/>
      <w:numFmt w:val="bullet"/>
      <w:lvlText w:val="•"/>
      <w:lvlJc w:val="left"/>
      <w:pPr>
        <w:tabs>
          <w:tab w:val="num" w:pos="5040"/>
        </w:tabs>
        <w:ind w:left="5040" w:hanging="360"/>
      </w:pPr>
      <w:rPr>
        <w:rFonts w:ascii="Times New Roman" w:hAnsi="Times New Roman" w:hint="default"/>
      </w:rPr>
    </w:lvl>
    <w:lvl w:ilvl="7" w:tplc="6526F5E8" w:tentative="1">
      <w:start w:val="1"/>
      <w:numFmt w:val="bullet"/>
      <w:lvlText w:val="•"/>
      <w:lvlJc w:val="left"/>
      <w:pPr>
        <w:tabs>
          <w:tab w:val="num" w:pos="5760"/>
        </w:tabs>
        <w:ind w:left="5760" w:hanging="360"/>
      </w:pPr>
      <w:rPr>
        <w:rFonts w:ascii="Times New Roman" w:hAnsi="Times New Roman" w:hint="default"/>
      </w:rPr>
    </w:lvl>
    <w:lvl w:ilvl="8" w:tplc="4F2A891E" w:tentative="1">
      <w:start w:val="1"/>
      <w:numFmt w:val="bullet"/>
      <w:lvlText w:val="•"/>
      <w:lvlJc w:val="left"/>
      <w:pPr>
        <w:tabs>
          <w:tab w:val="num" w:pos="6480"/>
        </w:tabs>
        <w:ind w:left="6480" w:hanging="360"/>
      </w:pPr>
      <w:rPr>
        <w:rFonts w:ascii="Times New Roman" w:hAnsi="Times New Roman" w:hint="default"/>
      </w:rPr>
    </w:lvl>
  </w:abstractNum>
  <w:abstractNum w:abstractNumId="4">
    <w:nsid w:val="4B302603"/>
    <w:multiLevelType w:val="hybridMultilevel"/>
    <w:tmpl w:val="F8E4D764"/>
    <w:lvl w:ilvl="0" w:tplc="B6C8BFB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B45461"/>
    <w:multiLevelType w:val="hybridMultilevel"/>
    <w:tmpl w:val="17DA6ED4"/>
    <w:lvl w:ilvl="0" w:tplc="8494A05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0861E6"/>
    <w:multiLevelType w:val="hybridMultilevel"/>
    <w:tmpl w:val="FB744C64"/>
    <w:lvl w:ilvl="0" w:tplc="14B231D6">
      <w:start w:val="1"/>
      <w:numFmt w:val="bullet"/>
      <w:lvlText w:val="•"/>
      <w:lvlJc w:val="left"/>
      <w:pPr>
        <w:tabs>
          <w:tab w:val="num" w:pos="720"/>
        </w:tabs>
        <w:ind w:left="720" w:hanging="360"/>
      </w:pPr>
      <w:rPr>
        <w:rFonts w:ascii="Times New Roman" w:hAnsi="Times New Roman" w:hint="default"/>
      </w:rPr>
    </w:lvl>
    <w:lvl w:ilvl="1" w:tplc="3C1E9D4E">
      <w:start w:val="126"/>
      <w:numFmt w:val="bullet"/>
      <w:lvlText w:val="–"/>
      <w:lvlJc w:val="left"/>
      <w:pPr>
        <w:tabs>
          <w:tab w:val="num" w:pos="1440"/>
        </w:tabs>
        <w:ind w:left="1440" w:hanging="360"/>
      </w:pPr>
      <w:rPr>
        <w:rFonts w:ascii="Times New Roman" w:hAnsi="Times New Roman" w:hint="default"/>
      </w:rPr>
    </w:lvl>
    <w:lvl w:ilvl="2" w:tplc="344CC358" w:tentative="1">
      <w:start w:val="1"/>
      <w:numFmt w:val="bullet"/>
      <w:lvlText w:val="•"/>
      <w:lvlJc w:val="left"/>
      <w:pPr>
        <w:tabs>
          <w:tab w:val="num" w:pos="2160"/>
        </w:tabs>
        <w:ind w:left="2160" w:hanging="360"/>
      </w:pPr>
      <w:rPr>
        <w:rFonts w:ascii="Times New Roman" w:hAnsi="Times New Roman" w:hint="default"/>
      </w:rPr>
    </w:lvl>
    <w:lvl w:ilvl="3" w:tplc="A672FEDC" w:tentative="1">
      <w:start w:val="1"/>
      <w:numFmt w:val="bullet"/>
      <w:lvlText w:val="•"/>
      <w:lvlJc w:val="left"/>
      <w:pPr>
        <w:tabs>
          <w:tab w:val="num" w:pos="2880"/>
        </w:tabs>
        <w:ind w:left="2880" w:hanging="360"/>
      </w:pPr>
      <w:rPr>
        <w:rFonts w:ascii="Times New Roman" w:hAnsi="Times New Roman" w:hint="default"/>
      </w:rPr>
    </w:lvl>
    <w:lvl w:ilvl="4" w:tplc="C908F182" w:tentative="1">
      <w:start w:val="1"/>
      <w:numFmt w:val="bullet"/>
      <w:lvlText w:val="•"/>
      <w:lvlJc w:val="left"/>
      <w:pPr>
        <w:tabs>
          <w:tab w:val="num" w:pos="3600"/>
        </w:tabs>
        <w:ind w:left="3600" w:hanging="360"/>
      </w:pPr>
      <w:rPr>
        <w:rFonts w:ascii="Times New Roman" w:hAnsi="Times New Roman" w:hint="default"/>
      </w:rPr>
    </w:lvl>
    <w:lvl w:ilvl="5" w:tplc="CC3CD3A4" w:tentative="1">
      <w:start w:val="1"/>
      <w:numFmt w:val="bullet"/>
      <w:lvlText w:val="•"/>
      <w:lvlJc w:val="left"/>
      <w:pPr>
        <w:tabs>
          <w:tab w:val="num" w:pos="4320"/>
        </w:tabs>
        <w:ind w:left="4320" w:hanging="360"/>
      </w:pPr>
      <w:rPr>
        <w:rFonts w:ascii="Times New Roman" w:hAnsi="Times New Roman" w:hint="default"/>
      </w:rPr>
    </w:lvl>
    <w:lvl w:ilvl="6" w:tplc="E738F788" w:tentative="1">
      <w:start w:val="1"/>
      <w:numFmt w:val="bullet"/>
      <w:lvlText w:val="•"/>
      <w:lvlJc w:val="left"/>
      <w:pPr>
        <w:tabs>
          <w:tab w:val="num" w:pos="5040"/>
        </w:tabs>
        <w:ind w:left="5040" w:hanging="360"/>
      </w:pPr>
      <w:rPr>
        <w:rFonts w:ascii="Times New Roman" w:hAnsi="Times New Roman" w:hint="default"/>
      </w:rPr>
    </w:lvl>
    <w:lvl w:ilvl="7" w:tplc="AA4EDC7C" w:tentative="1">
      <w:start w:val="1"/>
      <w:numFmt w:val="bullet"/>
      <w:lvlText w:val="•"/>
      <w:lvlJc w:val="left"/>
      <w:pPr>
        <w:tabs>
          <w:tab w:val="num" w:pos="5760"/>
        </w:tabs>
        <w:ind w:left="5760" w:hanging="360"/>
      </w:pPr>
      <w:rPr>
        <w:rFonts w:ascii="Times New Roman" w:hAnsi="Times New Roman" w:hint="default"/>
      </w:rPr>
    </w:lvl>
    <w:lvl w:ilvl="8" w:tplc="0090D46C" w:tentative="1">
      <w:start w:val="1"/>
      <w:numFmt w:val="bullet"/>
      <w:lvlText w:val="•"/>
      <w:lvlJc w:val="left"/>
      <w:pPr>
        <w:tabs>
          <w:tab w:val="num" w:pos="6480"/>
        </w:tabs>
        <w:ind w:left="6480" w:hanging="360"/>
      </w:pPr>
      <w:rPr>
        <w:rFonts w:ascii="Times New Roman" w:hAnsi="Times New Roman" w:hint="default"/>
      </w:rPr>
    </w:lvl>
  </w:abstractNum>
  <w:abstractNum w:abstractNumId="7">
    <w:nsid w:val="5F5755EE"/>
    <w:multiLevelType w:val="hybridMultilevel"/>
    <w:tmpl w:val="37BEEFFC"/>
    <w:lvl w:ilvl="0" w:tplc="60D4046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087495"/>
    <w:multiLevelType w:val="hybridMultilevel"/>
    <w:tmpl w:val="2A521B1C"/>
    <w:lvl w:ilvl="0" w:tplc="370C318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0"/>
  </w:num>
  <w:num w:numId="4">
    <w:abstractNumId w:val="3"/>
  </w:num>
  <w:num w:numId="5">
    <w:abstractNumId w:val="6"/>
  </w:num>
  <w:num w:numId="6">
    <w:abstractNumId w:val="1"/>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708"/>
    <w:rsid w:val="000174D9"/>
    <w:rsid w:val="0004779B"/>
    <w:rsid w:val="00057093"/>
    <w:rsid w:val="00061DD9"/>
    <w:rsid w:val="000C6BB4"/>
    <w:rsid w:val="00172AEE"/>
    <w:rsid w:val="002533BA"/>
    <w:rsid w:val="002C071B"/>
    <w:rsid w:val="002F45A2"/>
    <w:rsid w:val="00323022"/>
    <w:rsid w:val="00462979"/>
    <w:rsid w:val="004838D9"/>
    <w:rsid w:val="004C5B50"/>
    <w:rsid w:val="00527370"/>
    <w:rsid w:val="00563708"/>
    <w:rsid w:val="005D389A"/>
    <w:rsid w:val="00652FA3"/>
    <w:rsid w:val="006B5E9A"/>
    <w:rsid w:val="006C315F"/>
    <w:rsid w:val="006D0234"/>
    <w:rsid w:val="00712D0C"/>
    <w:rsid w:val="00761B5B"/>
    <w:rsid w:val="007659CF"/>
    <w:rsid w:val="007A0BBC"/>
    <w:rsid w:val="00800A8A"/>
    <w:rsid w:val="00810A8B"/>
    <w:rsid w:val="00813632"/>
    <w:rsid w:val="008966F1"/>
    <w:rsid w:val="0091514D"/>
    <w:rsid w:val="009867B2"/>
    <w:rsid w:val="009C5B50"/>
    <w:rsid w:val="00A4142E"/>
    <w:rsid w:val="00A67B8E"/>
    <w:rsid w:val="00AD1FE8"/>
    <w:rsid w:val="00C57640"/>
    <w:rsid w:val="00CA24EA"/>
    <w:rsid w:val="00E7031C"/>
    <w:rsid w:val="00EF3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8F346-0BD6-4A6A-BB38-1545C135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708"/>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708"/>
    <w:pPr>
      <w:ind w:left="720"/>
      <w:contextualSpacing/>
    </w:pPr>
  </w:style>
  <w:style w:type="paragraph" w:styleId="NormalWeb">
    <w:name w:val="Normal (Web)"/>
    <w:basedOn w:val="Normal"/>
    <w:rsid w:val="0056370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rsid w:val="009C5B50"/>
    <w:rPr>
      <w:color w:val="000080"/>
      <w:u w:val="single"/>
    </w:rPr>
  </w:style>
  <w:style w:type="character" w:styleId="Emphasis">
    <w:name w:val="Emphasis"/>
    <w:basedOn w:val="DefaultParagraphFont"/>
    <w:uiPriority w:val="20"/>
    <w:qFormat/>
    <w:rsid w:val="00323022"/>
    <w:rPr>
      <w:i/>
      <w:iCs/>
    </w:rPr>
  </w:style>
  <w:style w:type="paragraph" w:styleId="BalloonText">
    <w:name w:val="Balloon Text"/>
    <w:basedOn w:val="Normal"/>
    <w:link w:val="BalloonTextChar"/>
    <w:uiPriority w:val="99"/>
    <w:semiHidden/>
    <w:unhideWhenUsed/>
    <w:rsid w:val="00A67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B8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506315">
      <w:bodyDiv w:val="1"/>
      <w:marLeft w:val="0"/>
      <w:marRight w:val="0"/>
      <w:marTop w:val="0"/>
      <w:marBottom w:val="0"/>
      <w:divBdr>
        <w:top w:val="none" w:sz="0" w:space="0" w:color="auto"/>
        <w:left w:val="none" w:sz="0" w:space="0" w:color="auto"/>
        <w:bottom w:val="none" w:sz="0" w:space="0" w:color="auto"/>
        <w:right w:val="none" w:sz="0" w:space="0" w:color="auto"/>
      </w:divBdr>
      <w:divsChild>
        <w:div w:id="2125033571">
          <w:marLeft w:val="0"/>
          <w:marRight w:val="0"/>
          <w:marTop w:val="0"/>
          <w:marBottom w:val="0"/>
          <w:divBdr>
            <w:top w:val="none" w:sz="0" w:space="0" w:color="auto"/>
            <w:left w:val="none" w:sz="0" w:space="0" w:color="auto"/>
            <w:bottom w:val="none" w:sz="0" w:space="0" w:color="auto"/>
            <w:right w:val="none" w:sz="0" w:space="0" w:color="auto"/>
          </w:divBdr>
          <w:divsChild>
            <w:div w:id="1736321093">
              <w:marLeft w:val="0"/>
              <w:marRight w:val="0"/>
              <w:marTop w:val="0"/>
              <w:marBottom w:val="0"/>
              <w:divBdr>
                <w:top w:val="none" w:sz="0" w:space="0" w:color="auto"/>
                <w:left w:val="none" w:sz="0" w:space="0" w:color="auto"/>
                <w:bottom w:val="none" w:sz="0" w:space="0" w:color="auto"/>
                <w:right w:val="none" w:sz="0" w:space="0" w:color="auto"/>
              </w:divBdr>
              <w:divsChild>
                <w:div w:id="1869365041">
                  <w:marLeft w:val="0"/>
                  <w:marRight w:val="0"/>
                  <w:marTop w:val="0"/>
                  <w:marBottom w:val="0"/>
                  <w:divBdr>
                    <w:top w:val="none" w:sz="0" w:space="0" w:color="auto"/>
                    <w:left w:val="none" w:sz="0" w:space="0" w:color="auto"/>
                    <w:bottom w:val="none" w:sz="0" w:space="0" w:color="auto"/>
                    <w:right w:val="none" w:sz="0" w:space="0" w:color="auto"/>
                  </w:divBdr>
                  <w:divsChild>
                    <w:div w:id="1223327259">
                      <w:marLeft w:val="0"/>
                      <w:marRight w:val="0"/>
                      <w:marTop w:val="0"/>
                      <w:marBottom w:val="0"/>
                      <w:divBdr>
                        <w:top w:val="none" w:sz="0" w:space="0" w:color="auto"/>
                        <w:left w:val="none" w:sz="0" w:space="0" w:color="auto"/>
                        <w:bottom w:val="none" w:sz="0" w:space="0" w:color="auto"/>
                        <w:right w:val="none" w:sz="0" w:space="0" w:color="auto"/>
                      </w:divBdr>
                      <w:divsChild>
                        <w:div w:id="1757095817">
                          <w:marLeft w:val="0"/>
                          <w:marRight w:val="0"/>
                          <w:marTop w:val="0"/>
                          <w:marBottom w:val="0"/>
                          <w:divBdr>
                            <w:top w:val="none" w:sz="0" w:space="0" w:color="auto"/>
                            <w:left w:val="none" w:sz="0" w:space="0" w:color="auto"/>
                            <w:bottom w:val="none" w:sz="0" w:space="0" w:color="auto"/>
                            <w:right w:val="none" w:sz="0" w:space="0" w:color="auto"/>
                          </w:divBdr>
                          <w:divsChild>
                            <w:div w:id="1683899676">
                              <w:marLeft w:val="0"/>
                              <w:marRight w:val="0"/>
                              <w:marTop w:val="0"/>
                              <w:marBottom w:val="0"/>
                              <w:divBdr>
                                <w:top w:val="none" w:sz="0" w:space="0" w:color="auto"/>
                                <w:left w:val="none" w:sz="0" w:space="0" w:color="auto"/>
                                <w:bottom w:val="none" w:sz="0" w:space="0" w:color="auto"/>
                                <w:right w:val="none" w:sz="0" w:space="0" w:color="auto"/>
                              </w:divBdr>
                              <w:divsChild>
                                <w:div w:id="9329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96745">
                          <w:marLeft w:val="0"/>
                          <w:marRight w:val="0"/>
                          <w:marTop w:val="0"/>
                          <w:marBottom w:val="0"/>
                          <w:divBdr>
                            <w:top w:val="none" w:sz="0" w:space="0" w:color="auto"/>
                            <w:left w:val="none" w:sz="0" w:space="0" w:color="auto"/>
                            <w:bottom w:val="none" w:sz="0" w:space="0" w:color="auto"/>
                            <w:right w:val="none" w:sz="0" w:space="0" w:color="auto"/>
                          </w:divBdr>
                          <w:divsChild>
                            <w:div w:id="1474519985">
                              <w:marLeft w:val="0"/>
                              <w:marRight w:val="0"/>
                              <w:marTop w:val="0"/>
                              <w:marBottom w:val="0"/>
                              <w:divBdr>
                                <w:top w:val="none" w:sz="0" w:space="0" w:color="auto"/>
                                <w:left w:val="none" w:sz="0" w:space="0" w:color="auto"/>
                                <w:bottom w:val="none" w:sz="0" w:space="0" w:color="auto"/>
                                <w:right w:val="none" w:sz="0" w:space="0" w:color="auto"/>
                              </w:divBdr>
                              <w:divsChild>
                                <w:div w:id="1245262079">
                                  <w:marLeft w:val="0"/>
                                  <w:marRight w:val="0"/>
                                  <w:marTop w:val="0"/>
                                  <w:marBottom w:val="0"/>
                                  <w:divBdr>
                                    <w:top w:val="none" w:sz="0" w:space="0" w:color="auto"/>
                                    <w:left w:val="none" w:sz="0" w:space="0" w:color="auto"/>
                                    <w:bottom w:val="none" w:sz="0" w:space="0" w:color="auto"/>
                                    <w:right w:val="none" w:sz="0" w:space="0" w:color="auto"/>
                                  </w:divBdr>
                                </w:div>
                                <w:div w:id="1614557897">
                                  <w:marLeft w:val="0"/>
                                  <w:marRight w:val="0"/>
                                  <w:marTop w:val="0"/>
                                  <w:marBottom w:val="0"/>
                                  <w:divBdr>
                                    <w:top w:val="none" w:sz="0" w:space="0" w:color="auto"/>
                                    <w:left w:val="none" w:sz="0" w:space="0" w:color="auto"/>
                                    <w:bottom w:val="none" w:sz="0" w:space="0" w:color="auto"/>
                                    <w:right w:val="none" w:sz="0" w:space="0" w:color="auto"/>
                                  </w:divBdr>
                                  <w:divsChild>
                                    <w:div w:id="1853956241">
                                      <w:marLeft w:val="0"/>
                                      <w:marRight w:val="0"/>
                                      <w:marTop w:val="0"/>
                                      <w:marBottom w:val="0"/>
                                      <w:divBdr>
                                        <w:top w:val="none" w:sz="0" w:space="0" w:color="auto"/>
                                        <w:left w:val="none" w:sz="0" w:space="0" w:color="auto"/>
                                        <w:bottom w:val="none" w:sz="0" w:space="0" w:color="auto"/>
                                        <w:right w:val="none" w:sz="0" w:space="0" w:color="auto"/>
                                      </w:divBdr>
                                      <w:divsChild>
                                        <w:div w:id="1187208999">
                                          <w:marLeft w:val="0"/>
                                          <w:marRight w:val="0"/>
                                          <w:marTop w:val="0"/>
                                          <w:marBottom w:val="0"/>
                                          <w:divBdr>
                                            <w:top w:val="none" w:sz="0" w:space="0" w:color="auto"/>
                                            <w:left w:val="none" w:sz="0" w:space="0" w:color="auto"/>
                                            <w:bottom w:val="none" w:sz="0" w:space="0" w:color="auto"/>
                                            <w:right w:val="none" w:sz="0" w:space="0" w:color="auto"/>
                                          </w:divBdr>
                                          <w:divsChild>
                                            <w:div w:id="10863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b2.westlaw.com/find/default.wl?rs=WLW7.09&amp;serialnum=1984119960&amp;fn=_top&amp;sv=Split&amp;tc=-1&amp;findtype=Y&amp;tf=-1&amp;db=471&amp;vr=2.0&amp;rp=%2ffind%2fdefault.wl&amp;mt=LawSchoolPractition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Kiersten Boyce</cp:lastModifiedBy>
  <cp:revision>11</cp:revision>
  <cp:lastPrinted>2014-09-27T14:02:00Z</cp:lastPrinted>
  <dcterms:created xsi:type="dcterms:W3CDTF">2014-09-26T18:42:00Z</dcterms:created>
  <dcterms:modified xsi:type="dcterms:W3CDTF">2014-09-27T14:39:00Z</dcterms:modified>
</cp:coreProperties>
</file>