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B6" w:rsidRPr="00602E37" w:rsidRDefault="00D65BB6" w:rsidP="00D65BB6">
      <w:pPr>
        <w:rPr>
          <w:bCs/>
        </w:rPr>
      </w:pPr>
      <w:proofErr w:type="spellStart"/>
      <w:r>
        <w:rPr>
          <w:bCs/>
        </w:rPr>
        <w:t>Lect</w:t>
      </w:r>
      <w:proofErr w:type="spellEnd"/>
      <w:r>
        <w:rPr>
          <w:bCs/>
        </w:rPr>
        <w:t xml:space="preserve"> 13</w:t>
      </w:r>
    </w:p>
    <w:p w:rsidR="00D65BB6" w:rsidRDefault="00D65BB6" w:rsidP="00D65BB6">
      <w:pPr>
        <w:pStyle w:val="ListParagraph"/>
        <w:numPr>
          <w:ilvl w:val="0"/>
          <w:numId w:val="9"/>
        </w:numPr>
      </w:pPr>
      <w:r>
        <w:t xml:space="preserve">PJ </w:t>
      </w:r>
      <w:r w:rsidR="00EF5820">
        <w:t xml:space="preserve">over a D </w:t>
      </w:r>
      <w:r>
        <w:t>in state court – 14</w:t>
      </w:r>
      <w:r w:rsidRPr="00D65BB6">
        <w:rPr>
          <w:vertAlign w:val="superscript"/>
        </w:rPr>
        <w:t>th</w:t>
      </w:r>
      <w:r>
        <w:t xml:space="preserve"> A</w:t>
      </w:r>
    </w:p>
    <w:p w:rsidR="00D65BB6" w:rsidRDefault="00D65BB6" w:rsidP="00D65BB6">
      <w:pPr>
        <w:pStyle w:val="ListParagraph"/>
        <w:numPr>
          <w:ilvl w:val="0"/>
          <w:numId w:val="9"/>
        </w:numPr>
      </w:pPr>
      <w:r>
        <w:t>What about PJ</w:t>
      </w:r>
      <w:r w:rsidR="00EF5820">
        <w:t xml:space="preserve"> over a D</w:t>
      </w:r>
      <w:r>
        <w:t xml:space="preserve"> in federal court</w:t>
      </w:r>
      <w:r w:rsidR="00EF5820">
        <w:t>?</w:t>
      </w:r>
    </w:p>
    <w:p w:rsidR="00EF5820" w:rsidRDefault="00EF5820" w:rsidP="00D65BB6">
      <w:pPr>
        <w:pStyle w:val="ListParagraph"/>
        <w:numPr>
          <w:ilvl w:val="1"/>
          <w:numId w:val="9"/>
        </w:numPr>
      </w:pPr>
      <w:r>
        <w:t>The constitutional question is about the 5th Amendment</w:t>
      </w:r>
      <w:r w:rsidRPr="00EF5820">
        <w:br/>
      </w:r>
      <w:r>
        <w:t xml:space="preserve">- </w:t>
      </w:r>
      <w:r w:rsidRPr="00EF5820">
        <w:t>contact between D and United States as a whole</w:t>
      </w:r>
    </w:p>
    <w:p w:rsidR="00EF5820" w:rsidRDefault="00EF5820" w:rsidP="00EF5820">
      <w:pPr>
        <w:pStyle w:val="ListParagraph"/>
        <w:numPr>
          <w:ilvl w:val="2"/>
          <w:numId w:val="9"/>
        </w:numPr>
      </w:pPr>
      <w:r w:rsidRPr="00EF5820">
        <w:t>P sues D, a citizen of New York, in federal court in Alaska concerning a braw</w:t>
      </w:r>
      <w:r>
        <w:t xml:space="preserve">l the two got into in New York. </w:t>
      </w:r>
      <w:r w:rsidRPr="00EF5820">
        <w:t>D is served in New York and has never been to Alaska.</w:t>
      </w:r>
      <w:r w:rsidRPr="00EF5820">
        <w:br/>
        <w:t>As a constitutional matter, there is PJ.</w:t>
      </w:r>
    </w:p>
    <w:p w:rsidR="00EF5820" w:rsidRDefault="00EF5820" w:rsidP="00D65BB6">
      <w:pPr>
        <w:pStyle w:val="ListParagraph"/>
        <w:numPr>
          <w:ilvl w:val="1"/>
          <w:numId w:val="9"/>
        </w:numPr>
      </w:pPr>
      <w:r>
        <w:t xml:space="preserve">Constitutional question of PJ generally arises as a problem only when a fed </w:t>
      </w:r>
      <w:proofErr w:type="spellStart"/>
      <w:r>
        <w:t>ct</w:t>
      </w:r>
      <w:proofErr w:type="spellEnd"/>
      <w:r>
        <w:t xml:space="preserve"> seeks to assert PJ over a foreigner abroad</w:t>
      </w:r>
    </w:p>
    <w:p w:rsidR="00D65BB6" w:rsidRDefault="00D65BB6" w:rsidP="00D65BB6">
      <w:pPr>
        <w:pStyle w:val="ListParagraph"/>
        <w:numPr>
          <w:ilvl w:val="1"/>
          <w:numId w:val="9"/>
        </w:numPr>
      </w:pPr>
      <w:r>
        <w:t>BUT FRCP 4</w:t>
      </w:r>
      <w:r w:rsidR="00EF5820">
        <w:t>(k)</w:t>
      </w:r>
      <w:r>
        <w:t xml:space="preserve"> makes it largely the case that</w:t>
      </w:r>
      <w:r w:rsidR="00EF5820">
        <w:t xml:space="preserve"> a fed </w:t>
      </w:r>
      <w:proofErr w:type="spellStart"/>
      <w:r w:rsidR="00EF5820">
        <w:t>ct</w:t>
      </w:r>
      <w:proofErr w:type="spellEnd"/>
      <w:r>
        <w:t xml:space="preserve"> can assert </w:t>
      </w:r>
      <w:r w:rsidR="00EF5820">
        <w:t>PJ over a D</w:t>
      </w:r>
      <w:r>
        <w:t xml:space="preserve"> only if </w:t>
      </w:r>
      <w:r w:rsidR="00EF5820">
        <w:t xml:space="preserve">a state </w:t>
      </w:r>
      <w:proofErr w:type="spellStart"/>
      <w:r w:rsidR="00EF5820">
        <w:t>ct</w:t>
      </w:r>
      <w:proofErr w:type="spellEnd"/>
      <w:r>
        <w:t xml:space="preserve"> could </w:t>
      </w:r>
      <w:r w:rsidR="00CF090F">
        <w:t>– will discuss in detail later</w:t>
      </w:r>
    </w:p>
    <w:p w:rsidR="00D65BB6" w:rsidRDefault="00D65BB6" w:rsidP="00D65BB6">
      <w:pPr>
        <w:pStyle w:val="ListParagraph"/>
        <w:numPr>
          <w:ilvl w:val="1"/>
          <w:numId w:val="9"/>
        </w:numPr>
      </w:pPr>
      <w:r>
        <w:t>So constitutional inquiry under 14</w:t>
      </w:r>
      <w:r w:rsidRPr="00D65BB6">
        <w:rPr>
          <w:vertAlign w:val="superscript"/>
        </w:rPr>
        <w:t>th</w:t>
      </w:r>
      <w:r>
        <w:t xml:space="preserve"> A</w:t>
      </w:r>
      <w:r w:rsidR="00EF5820">
        <w:t xml:space="preserve"> </w:t>
      </w:r>
      <w:r>
        <w:t xml:space="preserve">is relevant to fed </w:t>
      </w:r>
      <w:proofErr w:type="spellStart"/>
      <w:r>
        <w:t>ct</w:t>
      </w:r>
      <w:proofErr w:type="spellEnd"/>
      <w:r>
        <w:t xml:space="preserve"> too</w:t>
      </w:r>
    </w:p>
    <w:p w:rsidR="00EF5820" w:rsidRDefault="00EF5820" w:rsidP="00EF5820">
      <w:pPr>
        <w:pStyle w:val="ListParagraph"/>
        <w:ind w:left="1440"/>
      </w:pPr>
    </w:p>
    <w:p w:rsidR="00EF5820" w:rsidRDefault="00EF5820" w:rsidP="00D65BB6">
      <w:pPr>
        <w:pStyle w:val="ListParagraph"/>
        <w:numPr>
          <w:ilvl w:val="0"/>
          <w:numId w:val="9"/>
        </w:numPr>
      </w:pPr>
      <w:proofErr w:type="spellStart"/>
      <w:r>
        <w:t>Pennoyer</w:t>
      </w:r>
      <w:proofErr w:type="spellEnd"/>
      <w:r>
        <w:t xml:space="preserve"> v. Neff read the international law on PJ into the due process clause of the 14</w:t>
      </w:r>
      <w:r w:rsidRPr="00EF5820">
        <w:rPr>
          <w:vertAlign w:val="superscript"/>
        </w:rPr>
        <w:t>th</w:t>
      </w:r>
      <w:r>
        <w:t xml:space="preserve"> A</w:t>
      </w:r>
    </w:p>
    <w:p w:rsidR="00D65BB6" w:rsidRDefault="00D65BB6" w:rsidP="00EF5820">
      <w:pPr>
        <w:pStyle w:val="ListParagraph"/>
        <w:numPr>
          <w:ilvl w:val="0"/>
          <w:numId w:val="9"/>
        </w:numPr>
      </w:pPr>
      <w:r>
        <w:t xml:space="preserve">But why is this </w:t>
      </w:r>
      <w:r w:rsidR="00EF5820">
        <w:t xml:space="preserve">a question of due process? Due process is a </w:t>
      </w:r>
      <w:r>
        <w:t>right of the D</w:t>
      </w:r>
      <w:r w:rsidR="00EF5820">
        <w:t>, whereas int’l law seems to be about the relationship between sovereigns</w:t>
      </w:r>
    </w:p>
    <w:p w:rsidR="00EF5820" w:rsidRDefault="00EF5820" w:rsidP="00EF5820">
      <w:pPr>
        <w:pStyle w:val="ListParagraph"/>
      </w:pPr>
    </w:p>
    <w:p w:rsidR="00D65BB6" w:rsidRPr="00CF090F" w:rsidRDefault="00D65BB6" w:rsidP="00D65BB6">
      <w:pPr>
        <w:pStyle w:val="ListParagraph"/>
        <w:numPr>
          <w:ilvl w:val="0"/>
          <w:numId w:val="3"/>
        </w:numPr>
      </w:pPr>
      <w:r w:rsidRPr="00CF090F">
        <w:t>right of d</w:t>
      </w:r>
      <w:r w:rsidR="00EF5820" w:rsidRPr="00CF090F">
        <w:t>efendant not to have life, liberty, or property taken by an entity that has no</w:t>
      </w:r>
      <w:r w:rsidR="00CF090F">
        <w:t xml:space="preserve"> sovereign</w:t>
      </w:r>
      <w:r w:rsidR="00EF5820" w:rsidRPr="00CF090F">
        <w:t xml:space="preserve"> power over her, even if that entity is fair in other respects</w:t>
      </w:r>
    </w:p>
    <w:p w:rsidR="00EF5820" w:rsidRDefault="00EF5820" w:rsidP="00D65BB6">
      <w:pPr>
        <w:pStyle w:val="ListParagraph"/>
        <w:numPr>
          <w:ilvl w:val="0"/>
          <w:numId w:val="3"/>
        </w:numPr>
        <w:rPr>
          <w:b/>
        </w:rPr>
      </w:pPr>
    </w:p>
    <w:p w:rsidR="00EF5820" w:rsidRPr="00EF5820" w:rsidRDefault="00EF5820" w:rsidP="00D65BB6">
      <w:pPr>
        <w:pStyle w:val="ListParagraph"/>
        <w:numPr>
          <w:ilvl w:val="0"/>
          <w:numId w:val="3"/>
        </w:numPr>
      </w:pPr>
      <w:r w:rsidRPr="00EF5820">
        <w:t xml:space="preserve">Anne </w:t>
      </w:r>
      <w:proofErr w:type="spellStart"/>
      <w:r w:rsidRPr="00EF5820">
        <w:t>Wallice</w:t>
      </w:r>
      <w:proofErr w:type="spellEnd"/>
      <w:r w:rsidRPr="00EF5820">
        <w:t xml:space="preserve"> wishes to sue Mariel </w:t>
      </w:r>
      <w:proofErr w:type="spellStart"/>
      <w:r w:rsidRPr="00EF5820">
        <w:t>Echemendia</w:t>
      </w:r>
      <w:proofErr w:type="spellEnd"/>
      <w:r w:rsidRPr="00EF5820">
        <w:t xml:space="preserve"> for $10,000 concerning a brawl the two got into in Virginia.</w:t>
      </w:r>
      <w:r w:rsidRPr="00EF5820">
        <w:br/>
        <w:t>- She approaches Michael Green, who agrees, without Mariel’s consent, to act as the adjudicator.</w:t>
      </w:r>
      <w:r w:rsidRPr="00EF5820">
        <w:br/>
        <w:t>- Green will conduct the trial exactly as a Virginia state court would.</w:t>
      </w:r>
      <w:r w:rsidRPr="00EF5820">
        <w:br/>
        <w:t>- Mariel defaults and Green takes $10,000 of her property and gives it to Anne.</w:t>
      </w:r>
    </w:p>
    <w:p w:rsidR="00EF5820" w:rsidRDefault="00EF5820" w:rsidP="00D65BB6">
      <w:pPr>
        <w:pStyle w:val="ListParagraph"/>
        <w:numPr>
          <w:ilvl w:val="0"/>
          <w:numId w:val="3"/>
        </w:numPr>
      </w:pPr>
      <w:r>
        <w:t>This is a violation of due process, because MG has no adjudicative power over Mariel</w:t>
      </w:r>
    </w:p>
    <w:p w:rsidR="00D65BB6" w:rsidRDefault="00D65BB6" w:rsidP="00D65BB6">
      <w:pPr>
        <w:pStyle w:val="ListParagraph"/>
      </w:pPr>
    </w:p>
    <w:p w:rsidR="00D65BB6" w:rsidRDefault="00D65BB6" w:rsidP="00D65BB6">
      <w:pPr>
        <w:numPr>
          <w:ilvl w:val="12"/>
          <w:numId w:val="0"/>
        </w:numPr>
      </w:pPr>
      <w:r>
        <w:t>OK – but what is the particular theory of PJ</w:t>
      </w:r>
      <w:r w:rsidR="00CF090F">
        <w:t>?</w:t>
      </w:r>
    </w:p>
    <w:p w:rsidR="00265EA4" w:rsidRDefault="00265EA4" w:rsidP="00D65BB6">
      <w:pPr>
        <w:numPr>
          <w:ilvl w:val="12"/>
          <w:numId w:val="0"/>
        </w:numPr>
      </w:pPr>
      <w:r>
        <w:t xml:space="preserve">NOTE: this is the framework in place at the time of </w:t>
      </w:r>
      <w:proofErr w:type="spellStart"/>
      <w:r>
        <w:t>Pennoyer</w:t>
      </w:r>
      <w:proofErr w:type="spellEnd"/>
      <w:r>
        <w:t>. This framework will be expanded (allowing state courts more PJ power</w:t>
      </w:r>
      <w:r w:rsidR="00CF090F">
        <w:t>)</w:t>
      </w:r>
      <w:r>
        <w:t xml:space="preserve"> through Int’</w:t>
      </w:r>
      <w:r w:rsidR="00CF090F">
        <w:t>l Shoe</w:t>
      </w:r>
      <w:r>
        <w:t xml:space="preserve">. In addition, some of the </w:t>
      </w:r>
      <w:proofErr w:type="spellStart"/>
      <w:r>
        <w:t>Pennoyer</w:t>
      </w:r>
      <w:proofErr w:type="spellEnd"/>
      <w:r>
        <w:t xml:space="preserve"> framewo</w:t>
      </w:r>
      <w:r w:rsidR="00CF090F">
        <w:t>rk is no longer constitutional</w:t>
      </w:r>
      <w:r>
        <w:t xml:space="preserve">. BUT there is (in Green’s opinion) some PJ power that state courts currently have that can be justified only through the </w:t>
      </w:r>
      <w:proofErr w:type="spellStart"/>
      <w:r>
        <w:t>Pennoyer</w:t>
      </w:r>
      <w:proofErr w:type="spellEnd"/>
      <w:r>
        <w:t xml:space="preserve"> framework, no</w:t>
      </w:r>
      <w:r w:rsidR="00CF090F">
        <w:t>t</w:t>
      </w:r>
      <w:r>
        <w:t xml:space="preserve"> through Int’l Shoe. So you need to know </w:t>
      </w:r>
      <w:proofErr w:type="spellStart"/>
      <w:r>
        <w:t>Pennoyer</w:t>
      </w:r>
      <w:proofErr w:type="spellEnd"/>
      <w:r>
        <w:t xml:space="preserve"> to know the current reading of the 14</w:t>
      </w:r>
      <w:r w:rsidRPr="00265EA4">
        <w:rPr>
          <w:vertAlign w:val="superscript"/>
        </w:rPr>
        <w:t>th</w:t>
      </w:r>
      <w:r>
        <w:t xml:space="preserve"> Amendment on PJ.</w:t>
      </w:r>
    </w:p>
    <w:p w:rsidR="00265EA4" w:rsidRDefault="00265EA4" w:rsidP="00D65BB6">
      <w:pPr>
        <w:numPr>
          <w:ilvl w:val="12"/>
          <w:numId w:val="0"/>
        </w:numPr>
      </w:pPr>
    </w:p>
    <w:p w:rsidR="00265EA4" w:rsidRDefault="00265EA4" w:rsidP="00D65BB6">
      <w:pPr>
        <w:numPr>
          <w:ilvl w:val="12"/>
          <w:numId w:val="0"/>
        </w:numPr>
      </w:pPr>
    </w:p>
    <w:p w:rsidR="00265EA4" w:rsidRDefault="00265EA4" w:rsidP="00D65BB6">
      <w:pPr>
        <w:numPr>
          <w:ilvl w:val="12"/>
          <w:numId w:val="0"/>
        </w:numPr>
      </w:pPr>
    </w:p>
    <w:p w:rsidR="00D65BB6" w:rsidRDefault="00D65BB6" w:rsidP="00D65BB6">
      <w:proofErr w:type="spellStart"/>
      <w:r>
        <w:lastRenderedPageBreak/>
        <w:t>Pennoyer</w:t>
      </w:r>
      <w:proofErr w:type="spellEnd"/>
      <w:r>
        <w:t xml:space="preserve"> regime is territorial – jealous </w:t>
      </w:r>
      <w:proofErr w:type="gramStart"/>
      <w:r>
        <w:t>sovereigns</w:t>
      </w:r>
      <w:proofErr w:type="gramEnd"/>
      <w:r w:rsidR="00265EA4">
        <w:t xml:space="preserve"> grapping what is in their borders at the initiation of the suit and not allowing other sovereigns to reach within their borders</w:t>
      </w:r>
    </w:p>
    <w:p w:rsidR="00265EA4" w:rsidRDefault="00265EA4" w:rsidP="00D65BB6">
      <w:pPr>
        <w:numPr>
          <w:ilvl w:val="0"/>
          <w:numId w:val="4"/>
        </w:numPr>
        <w:spacing w:after="0" w:line="240" w:lineRule="auto"/>
      </w:pPr>
      <w:r w:rsidRPr="00265EA4">
        <w:rPr>
          <w:i/>
          <w:iCs/>
        </w:rPr>
        <w:t xml:space="preserve">in </w:t>
      </w:r>
      <w:proofErr w:type="spellStart"/>
      <w:r w:rsidRPr="00265EA4">
        <w:rPr>
          <w:i/>
          <w:iCs/>
        </w:rPr>
        <w:t>personam</w:t>
      </w:r>
      <w:proofErr w:type="spellEnd"/>
      <w:r w:rsidRPr="00265EA4">
        <w:rPr>
          <w:i/>
          <w:iCs/>
        </w:rPr>
        <w:t xml:space="preserve"> </w:t>
      </w:r>
      <w:r w:rsidRPr="00265EA4">
        <w:t>– source of PJ is presence of D at initiation of suit (NOT at t</w:t>
      </w:r>
      <w:r>
        <w:t>ime of event being adjudicated)</w:t>
      </w:r>
    </w:p>
    <w:p w:rsidR="00265EA4" w:rsidRDefault="00265EA4" w:rsidP="00D65BB6">
      <w:pPr>
        <w:numPr>
          <w:ilvl w:val="0"/>
          <w:numId w:val="4"/>
        </w:numPr>
        <w:spacing w:after="0" w:line="240" w:lineRule="auto"/>
      </w:pPr>
      <w:r w:rsidRPr="00265EA4">
        <w:rPr>
          <w:i/>
          <w:iCs/>
        </w:rPr>
        <w:t xml:space="preserve">in rem </w:t>
      </w:r>
      <w:r w:rsidRPr="00265EA4">
        <w:t>– source of PJ is presence of</w:t>
      </w:r>
      <w:r>
        <w:t xml:space="preserve"> property at initiation of suit</w:t>
      </w:r>
      <w:r w:rsidRPr="00265EA4">
        <w:br/>
      </w:r>
      <w:proofErr w:type="spellStart"/>
      <w:r w:rsidRPr="00265EA4">
        <w:t>suit</w:t>
      </w:r>
      <w:proofErr w:type="spellEnd"/>
      <w:r w:rsidRPr="00265EA4">
        <w:t xml:space="preserve"> concerns ownership of pro</w:t>
      </w:r>
      <w:r>
        <w:t>perty (e.g. quiet title action)</w:t>
      </w:r>
      <w:r w:rsidRPr="00265EA4">
        <w:br/>
        <w:t xml:space="preserve">binding upon all possible claimants </w:t>
      </w:r>
    </w:p>
    <w:p w:rsidR="00D65BB6" w:rsidRDefault="00265EA4" w:rsidP="00D65BB6">
      <w:pPr>
        <w:numPr>
          <w:ilvl w:val="0"/>
          <w:numId w:val="4"/>
        </w:numPr>
        <w:spacing w:after="0" w:line="240" w:lineRule="auto"/>
      </w:pPr>
      <w:r w:rsidRPr="00265EA4">
        <w:rPr>
          <w:i/>
          <w:iCs/>
        </w:rPr>
        <w:t xml:space="preserve">quasi in rem </w:t>
      </w:r>
      <w:r>
        <w:br/>
        <w:t>two types:</w:t>
      </w:r>
      <w:r w:rsidRPr="00265EA4">
        <w:br/>
        <w:t>1) source of PJ is D’s property in state at initiation of suit, but suit does no</w:t>
      </w:r>
      <w:r>
        <w:t>t concern ownership of property</w:t>
      </w:r>
      <w:r w:rsidRPr="00265EA4">
        <w:br/>
        <w:t>although if P wins, D’s property may be used to execute judgment</w:t>
      </w:r>
    </w:p>
    <w:p w:rsidR="00265EA4" w:rsidRDefault="00265EA4" w:rsidP="00D65BB6">
      <w:pPr>
        <w:numPr>
          <w:ilvl w:val="0"/>
          <w:numId w:val="4"/>
        </w:numPr>
        <w:spacing w:after="0" w:line="240" w:lineRule="auto"/>
      </w:pPr>
      <w:r w:rsidRPr="00265EA4">
        <w:t>2) suit concerns ownership of property (e.g. quiet title action), BUT binding only on certain named parties</w:t>
      </w:r>
    </w:p>
    <w:p w:rsidR="00265EA4" w:rsidRDefault="00265EA4" w:rsidP="00265EA4">
      <w:pPr>
        <w:numPr>
          <w:ilvl w:val="1"/>
          <w:numId w:val="4"/>
        </w:numPr>
        <w:spacing w:after="0" w:line="240" w:lineRule="auto"/>
      </w:pPr>
      <w:r>
        <w:t>Sometimes this one is called “in rem”</w:t>
      </w:r>
      <w:r w:rsidR="00CF090F">
        <w:t xml:space="preserve"> instead</w:t>
      </w:r>
    </w:p>
    <w:p w:rsidR="00265EA4" w:rsidRDefault="00265EA4" w:rsidP="00265EA4">
      <w:pPr>
        <w:spacing w:after="0" w:line="240" w:lineRule="auto"/>
        <w:ind w:left="1440"/>
      </w:pPr>
    </w:p>
    <w:p w:rsidR="00D65BB6" w:rsidRDefault="00EB4EF0" w:rsidP="00D65BB6">
      <w:pPr>
        <w:numPr>
          <w:ilvl w:val="12"/>
          <w:numId w:val="0"/>
        </w:numPr>
        <w:rPr>
          <w:bCs/>
        </w:rPr>
      </w:pPr>
      <w:r>
        <w:rPr>
          <w:bCs/>
        </w:rPr>
        <w:t xml:space="preserve">Examples of </w:t>
      </w:r>
      <w:proofErr w:type="spellStart"/>
      <w:r>
        <w:rPr>
          <w:bCs/>
        </w:rPr>
        <w:t>Pennoyer</w:t>
      </w:r>
      <w:proofErr w:type="spellEnd"/>
      <w:r>
        <w:rPr>
          <w:bCs/>
        </w:rPr>
        <w:t xml:space="preserve"> in action</w:t>
      </w:r>
    </w:p>
    <w:p w:rsidR="00D65BB6" w:rsidRDefault="00D65BB6" w:rsidP="00D65BB6">
      <w:pPr>
        <w:numPr>
          <w:ilvl w:val="0"/>
          <w:numId w:val="6"/>
        </w:numPr>
        <w:spacing w:after="0" w:line="240" w:lineRule="auto"/>
      </w:pPr>
      <w:r>
        <w:t>1) Mitchell, an Oregon resident, sues Neff, a California resident, in Oregon state court for unpaid lawyer’s fees that Neff incurred in Oregon while he was a resident of Oregon</w:t>
      </w:r>
    </w:p>
    <w:p w:rsidR="00D65BB6" w:rsidRDefault="00D65BB6" w:rsidP="00D65BB6">
      <w:pPr>
        <w:numPr>
          <w:ilvl w:val="0"/>
          <w:numId w:val="6"/>
        </w:numPr>
        <w:spacing w:after="0" w:line="240" w:lineRule="auto"/>
      </w:pPr>
      <w:r>
        <w:t>Service of the summons and complaint are delivered to Neff in hand in California</w:t>
      </w:r>
    </w:p>
    <w:p w:rsidR="00D65BB6" w:rsidRDefault="00D65BB6" w:rsidP="00D65BB6">
      <w:pPr>
        <w:numPr>
          <w:ilvl w:val="0"/>
          <w:numId w:val="6"/>
        </w:numPr>
        <w:spacing w:after="0" w:line="240" w:lineRule="auto"/>
      </w:pPr>
      <w:r>
        <w:t>Is there PJ?</w:t>
      </w:r>
    </w:p>
    <w:p w:rsidR="00D65BB6" w:rsidRDefault="00977475" w:rsidP="00D65BB6">
      <w:pPr>
        <w:numPr>
          <w:ilvl w:val="0"/>
          <w:numId w:val="5"/>
        </w:numPr>
        <w:spacing w:after="0" w:line="240" w:lineRule="auto"/>
      </w:pPr>
      <w:r>
        <w:t>No –</w:t>
      </w:r>
      <w:r w:rsidR="00CF090F">
        <w:t xml:space="preserve"> no</w:t>
      </w:r>
      <w:r>
        <w:t xml:space="preserve"> person or property in Ore. at beginning of suit</w:t>
      </w:r>
    </w:p>
    <w:p w:rsidR="00977475" w:rsidRDefault="00977475" w:rsidP="00D65BB6">
      <w:pPr>
        <w:numPr>
          <w:ilvl w:val="0"/>
          <w:numId w:val="5"/>
        </w:numPr>
        <w:spacing w:after="0" w:line="240" w:lineRule="auto"/>
      </w:pPr>
      <w:r>
        <w:t>Fact that cause of action arose in Oregon does not matter</w:t>
      </w:r>
    </w:p>
    <w:p w:rsidR="00D65BB6" w:rsidRDefault="00D65BB6" w:rsidP="00D65BB6">
      <w:pPr>
        <w:ind w:left="360"/>
      </w:pPr>
    </w:p>
    <w:p w:rsidR="00D65BB6" w:rsidRDefault="00D65BB6" w:rsidP="00D65BB6">
      <w:pPr>
        <w:numPr>
          <w:ilvl w:val="0"/>
          <w:numId w:val="5"/>
        </w:numPr>
        <w:spacing w:after="0" w:line="240" w:lineRule="auto"/>
      </w:pPr>
      <w:r>
        <w:t>2) Mitchell, an Oregon resident, sues Neff, a California resident, in Oregon state court for unpaid lawyer’s fees that Neff incurred in  Oregon while he was a resident of Oregon</w:t>
      </w:r>
    </w:p>
    <w:p w:rsidR="00D65BB6" w:rsidRDefault="00D65BB6" w:rsidP="00D65BB6">
      <w:pPr>
        <w:numPr>
          <w:ilvl w:val="0"/>
          <w:numId w:val="5"/>
        </w:numPr>
        <w:spacing w:after="0" w:line="240" w:lineRule="auto"/>
      </w:pPr>
      <w:r>
        <w:t>There is in-hand service of the summons and complaint upon Neff while he is in Oregon on a brief business trip</w:t>
      </w:r>
    </w:p>
    <w:p w:rsidR="00D65BB6" w:rsidRDefault="00D65BB6" w:rsidP="00CF090F">
      <w:r>
        <w:t>OK</w:t>
      </w:r>
      <w:r w:rsidR="00977475">
        <w:t xml:space="preserve"> – in </w:t>
      </w:r>
      <w:proofErr w:type="spellStart"/>
      <w:r w:rsidR="00977475">
        <w:t>personam</w:t>
      </w:r>
      <w:proofErr w:type="spellEnd"/>
    </w:p>
    <w:p w:rsidR="00D65BB6" w:rsidRDefault="00D65BB6" w:rsidP="00D65BB6">
      <w:pPr>
        <w:numPr>
          <w:ilvl w:val="0"/>
          <w:numId w:val="7"/>
        </w:numPr>
        <w:spacing w:after="0" w:line="240" w:lineRule="auto"/>
      </w:pPr>
      <w:r>
        <w:t>Mitchell, an Oregon resident, sues Neff, a California resident, in Oregon state court for unpaid lawyer’s fees that Neff incurred to Mitchell in California – Neff was never an Oregon resident</w:t>
      </w:r>
    </w:p>
    <w:p w:rsidR="00D65BB6" w:rsidRDefault="00D65BB6" w:rsidP="00D65BB6">
      <w:pPr>
        <w:numPr>
          <w:ilvl w:val="0"/>
          <w:numId w:val="7"/>
        </w:numPr>
        <w:spacing w:after="0" w:line="240" w:lineRule="auto"/>
      </w:pPr>
      <w:r>
        <w:t>There is in-hand service of the summons and complaint upon Neff while he is in Oregon on a brief business trip</w:t>
      </w:r>
    </w:p>
    <w:p w:rsidR="00D65BB6" w:rsidRDefault="00D65BB6" w:rsidP="00D65BB6">
      <w:r>
        <w:t>OK</w:t>
      </w:r>
      <w:r w:rsidR="00977475">
        <w:t xml:space="preserve"> – in </w:t>
      </w:r>
      <w:proofErr w:type="spellStart"/>
      <w:r w:rsidR="00977475">
        <w:t>personam</w:t>
      </w:r>
      <w:proofErr w:type="spellEnd"/>
    </w:p>
    <w:p w:rsidR="00D65BB6" w:rsidRDefault="00D65BB6" w:rsidP="00D65BB6">
      <w:pPr>
        <w:numPr>
          <w:ilvl w:val="12"/>
          <w:numId w:val="0"/>
        </w:numPr>
      </w:pPr>
    </w:p>
    <w:p w:rsidR="00D65BB6" w:rsidRDefault="00D65BB6" w:rsidP="00D65BB6">
      <w:pPr>
        <w:numPr>
          <w:ilvl w:val="12"/>
          <w:numId w:val="0"/>
        </w:numPr>
      </w:pPr>
      <w:r>
        <w:t xml:space="preserve">In </w:t>
      </w:r>
      <w:proofErr w:type="spellStart"/>
      <w:r>
        <w:t>Personam</w:t>
      </w:r>
      <w:proofErr w:type="spellEnd"/>
      <w:r>
        <w:t xml:space="preserve"> Jurisdiction</w:t>
      </w:r>
    </w:p>
    <w:p w:rsidR="00D65BB6" w:rsidRDefault="00D65BB6" w:rsidP="00D65BB6">
      <w:pPr>
        <w:numPr>
          <w:ilvl w:val="12"/>
          <w:numId w:val="0"/>
        </w:numPr>
      </w:pPr>
    </w:p>
    <w:p w:rsidR="00D65BB6" w:rsidRDefault="00D65BB6" w:rsidP="00D65BB6">
      <w:pPr>
        <w:numPr>
          <w:ilvl w:val="12"/>
          <w:numId w:val="0"/>
        </w:numPr>
        <w:rPr>
          <w:szCs w:val="24"/>
        </w:rPr>
      </w:pPr>
      <w:r>
        <w:rPr>
          <w:rFonts w:eastAsia="+mj-ea" w:hAnsi="+mj-ea" w:cs="+mj-cs"/>
          <w:color w:val="000000"/>
          <w:kern w:val="24"/>
          <w:szCs w:val="24"/>
        </w:rPr>
        <w:t>§</w:t>
      </w:r>
      <w:r>
        <w:rPr>
          <w:rFonts w:eastAsia="+mj-ea" w:hAnsi="+mj-ea" w:cs="+mj-cs"/>
          <w:color w:val="000000"/>
          <w:kern w:val="24"/>
          <w:szCs w:val="24"/>
        </w:rPr>
        <w:t xml:space="preserve"> 78. Individual Voluntarily Within </w:t>
      </w:r>
      <w:proofErr w:type="gramStart"/>
      <w:r>
        <w:rPr>
          <w:rFonts w:eastAsia="+mj-ea" w:hAnsi="+mj-ea" w:cs="+mj-cs"/>
          <w:color w:val="000000"/>
          <w:kern w:val="24"/>
          <w:szCs w:val="24"/>
        </w:rPr>
        <w:t>The</w:t>
      </w:r>
      <w:proofErr w:type="gramEnd"/>
      <w:r>
        <w:rPr>
          <w:rFonts w:eastAsia="+mj-ea" w:hAnsi="+mj-ea" w:cs="+mj-cs"/>
          <w:color w:val="000000"/>
          <w:kern w:val="24"/>
          <w:szCs w:val="24"/>
        </w:rPr>
        <w:t xml:space="preserve"> </w:t>
      </w:r>
      <w:r>
        <w:rPr>
          <w:rFonts w:eastAsia="+mj-ea" w:cs="+mj-cs"/>
          <w:color w:val="000000"/>
          <w:kern w:val="24"/>
          <w:szCs w:val="24"/>
        </w:rPr>
        <w:t>State</w:t>
      </w:r>
      <w:r>
        <w:rPr>
          <w:rFonts w:eastAsia="+mj-ea" w:cs="+mj-cs"/>
          <w:color w:val="000000"/>
          <w:kern w:val="24"/>
          <w:szCs w:val="24"/>
        </w:rPr>
        <w:br/>
      </w:r>
      <w:r>
        <w:rPr>
          <w:rFonts w:eastAsia="+mj-ea" w:cs="+mj-cs"/>
          <w:color w:val="000000"/>
          <w:kern w:val="24"/>
          <w:szCs w:val="24"/>
        </w:rPr>
        <w:br/>
      </w:r>
      <w:r>
        <w:rPr>
          <w:rFonts w:eastAsia="+mj-ea" w:cs="+mj-cs"/>
          <w:color w:val="000000"/>
          <w:kern w:val="24"/>
          <w:szCs w:val="24"/>
        </w:rPr>
        <w:lastRenderedPageBreak/>
        <w:t xml:space="preserve">A state can exercise through its </w:t>
      </w:r>
      <w:proofErr w:type="spellStart"/>
      <w:r>
        <w:rPr>
          <w:rFonts w:eastAsia="+mj-ea" w:cs="+mj-cs"/>
          <w:color w:val="000000"/>
          <w:kern w:val="24"/>
          <w:szCs w:val="24"/>
        </w:rPr>
        <w:t>courts</w:t>
      </w:r>
      <w:proofErr w:type="spellEnd"/>
      <w:r>
        <w:rPr>
          <w:rFonts w:eastAsia="+mj-ea" w:cs="+mj-cs"/>
          <w:color w:val="000000"/>
          <w:kern w:val="24"/>
          <w:szCs w:val="24"/>
        </w:rPr>
        <w:t xml:space="preserve"> jurisdiction over an individual voluntarily within its territory whether he is permanently or only temporarily there.</w:t>
      </w:r>
    </w:p>
    <w:p w:rsidR="00D65BB6" w:rsidRDefault="00977475" w:rsidP="00D65BB6">
      <w:pPr>
        <w:numPr>
          <w:ilvl w:val="12"/>
          <w:numId w:val="0"/>
        </w:numPr>
      </w:pPr>
      <w:r>
        <w:t>This is true even for causes of action that have no connection with the forum state</w:t>
      </w:r>
    </w:p>
    <w:p w:rsidR="00977475" w:rsidRDefault="00977475" w:rsidP="00D65BB6">
      <w:pPr>
        <w:numPr>
          <w:ilvl w:val="12"/>
          <w:numId w:val="0"/>
        </w:numPr>
      </w:pPr>
    </w:p>
    <w:p w:rsidR="00D65BB6" w:rsidRDefault="00D65BB6" w:rsidP="00D65BB6">
      <w:pPr>
        <w:numPr>
          <w:ilvl w:val="0"/>
          <w:numId w:val="8"/>
        </w:numPr>
        <w:spacing w:after="0" w:line="240" w:lineRule="auto"/>
        <w:rPr>
          <w:bCs/>
        </w:rPr>
      </w:pPr>
      <w:proofErr w:type="spellStart"/>
      <w:r>
        <w:rPr>
          <w:bCs/>
        </w:rPr>
        <w:t>Pennoyer</w:t>
      </w:r>
      <w:proofErr w:type="spellEnd"/>
      <w:r>
        <w:rPr>
          <w:bCs/>
        </w:rPr>
        <w:t xml:space="preserve">, an Oregon resident, sues Neff, a California resident, in Oregon state court in order to quiet </w:t>
      </w:r>
      <w:proofErr w:type="spellStart"/>
      <w:r>
        <w:rPr>
          <w:bCs/>
        </w:rPr>
        <w:t>Pennoyer’s</w:t>
      </w:r>
      <w:proofErr w:type="spellEnd"/>
      <w:r>
        <w:rPr>
          <w:bCs/>
        </w:rPr>
        <w:t xml:space="preserve"> title to the property in Oregon that each claims he owns.</w:t>
      </w:r>
    </w:p>
    <w:p w:rsidR="00D65BB6" w:rsidRDefault="00D65BB6" w:rsidP="00D65BB6">
      <w:pPr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>Service on Neff is in-hand in California</w:t>
      </w:r>
    </w:p>
    <w:p w:rsidR="00977475" w:rsidRDefault="00D65BB6" w:rsidP="00977475">
      <w:pPr>
        <w:ind w:left="360"/>
      </w:pPr>
      <w:r>
        <w:t xml:space="preserve">- OK? </w:t>
      </w:r>
      <w:r w:rsidR="00977475">
        <w:t>Yes – quasi in rem (of the second type)</w:t>
      </w:r>
    </w:p>
    <w:p w:rsidR="00D65BB6" w:rsidRDefault="00D65BB6" w:rsidP="00D65BB6"/>
    <w:p w:rsidR="00D65BB6" w:rsidRDefault="00D65BB6" w:rsidP="00D65BB6">
      <w:pPr>
        <w:ind w:left="1080"/>
        <w:rPr>
          <w:rStyle w:val="apple-style-span"/>
          <w:color w:val="000000"/>
          <w:sz w:val="27"/>
          <w:szCs w:val="27"/>
        </w:rPr>
      </w:pPr>
      <w:r>
        <w:rPr>
          <w:rStyle w:val="apple-style-span"/>
          <w:color w:val="000000"/>
          <w:sz w:val="27"/>
          <w:szCs w:val="27"/>
        </w:rPr>
        <w:t>§ 101. Jurisdiction Over Land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rStyle w:val="apple-style-span"/>
          <w:color w:val="000000"/>
          <w:sz w:val="27"/>
          <w:szCs w:val="27"/>
        </w:rPr>
        <w:t>A</w:t>
      </w:r>
      <w:proofErr w:type="gramEnd"/>
      <w:r>
        <w:rPr>
          <w:rStyle w:val="apple-style-span"/>
          <w:color w:val="000000"/>
          <w:sz w:val="27"/>
          <w:szCs w:val="27"/>
        </w:rPr>
        <w:t xml:space="preserve"> state can exercise through its </w:t>
      </w:r>
      <w:proofErr w:type="spellStart"/>
      <w:r>
        <w:rPr>
          <w:rStyle w:val="apple-style-span"/>
          <w:color w:val="000000"/>
          <w:sz w:val="27"/>
          <w:szCs w:val="27"/>
        </w:rPr>
        <w:t>courts</w:t>
      </w:r>
      <w:proofErr w:type="spellEnd"/>
      <w:r>
        <w:rPr>
          <w:rStyle w:val="apple-style-span"/>
          <w:color w:val="000000"/>
          <w:sz w:val="27"/>
          <w:szCs w:val="27"/>
        </w:rPr>
        <w:t xml:space="preserve"> jurisdiction over land situated within the territory of the state, although a person owning or claiming an interest in the land is not personally subject to the jurisdiction of the state.</w:t>
      </w:r>
    </w:p>
    <w:p w:rsidR="00D65BB6" w:rsidRDefault="00D65BB6" w:rsidP="00D65BB6">
      <w:pPr>
        <w:ind w:left="1080"/>
      </w:pPr>
    </w:p>
    <w:p w:rsidR="00D65BB6" w:rsidRDefault="00D65BB6" w:rsidP="00D65BB6">
      <w:pPr>
        <w:ind w:left="1080"/>
        <w:rPr>
          <w:rFonts w:eastAsia="+mj-ea" w:cs="+mj-cs"/>
          <w:color w:val="000000"/>
          <w:kern w:val="24"/>
          <w:szCs w:val="24"/>
        </w:rPr>
      </w:pPr>
      <w:proofErr w:type="spellStart"/>
      <w:r>
        <w:rPr>
          <w:rFonts w:eastAsia="+mj-ea" w:cs="+mj-cs"/>
          <w:color w:val="000000"/>
          <w:kern w:val="24"/>
          <w:szCs w:val="24"/>
        </w:rPr>
        <w:t>Pennoyer</w:t>
      </w:r>
      <w:proofErr w:type="spellEnd"/>
      <w:r>
        <w:rPr>
          <w:rFonts w:eastAsia="+mj-ea" w:cs="+mj-cs"/>
          <w:color w:val="000000"/>
          <w:kern w:val="24"/>
          <w:szCs w:val="24"/>
        </w:rPr>
        <w:t xml:space="preserve">, an Oregon resident, brings a suit to quiet title to Oregon property that he claims he owns. He brings an action in Oregon state court that he hopes will bind everyone in the world. </w:t>
      </w:r>
    </w:p>
    <w:p w:rsidR="00977475" w:rsidRDefault="00977475" w:rsidP="00D65BB6">
      <w:pPr>
        <w:ind w:left="1080"/>
        <w:rPr>
          <w:szCs w:val="24"/>
        </w:rPr>
      </w:pPr>
      <w:r>
        <w:rPr>
          <w:rFonts w:eastAsia="+mj-ea" w:cs="+mj-cs"/>
          <w:color w:val="000000"/>
          <w:kern w:val="24"/>
          <w:szCs w:val="24"/>
        </w:rPr>
        <w:t>-</w:t>
      </w:r>
      <w:r w:rsidR="00CF090F">
        <w:rPr>
          <w:rFonts w:eastAsia="+mj-ea" w:cs="+mj-cs"/>
          <w:color w:val="000000"/>
          <w:kern w:val="24"/>
          <w:szCs w:val="24"/>
        </w:rPr>
        <w:t xml:space="preserve"> OK -</w:t>
      </w:r>
      <w:r>
        <w:rPr>
          <w:rFonts w:eastAsia="+mj-ea" w:cs="+mj-cs"/>
          <w:color w:val="000000"/>
          <w:kern w:val="24"/>
          <w:szCs w:val="24"/>
        </w:rPr>
        <w:t xml:space="preserve"> this is an in rem action</w:t>
      </w:r>
    </w:p>
    <w:p w:rsidR="00D65BB6" w:rsidRDefault="00D65BB6" w:rsidP="00D65BB6">
      <w:pPr>
        <w:ind w:left="360"/>
        <w:rPr>
          <w:bCs/>
        </w:rPr>
      </w:pPr>
      <w:r>
        <w:t xml:space="preserve">- </w:t>
      </w:r>
      <w:proofErr w:type="spellStart"/>
      <w:r>
        <w:t>Pennoyer</w:t>
      </w:r>
      <w:proofErr w:type="spellEnd"/>
      <w:r>
        <w:t xml:space="preserve">, an Oregon resident, sues Neff, a California resident, in Oregon state court for breach of a contract Neff entered into to sell </w:t>
      </w:r>
      <w:proofErr w:type="spellStart"/>
      <w:r>
        <w:t>Pennoyer</w:t>
      </w:r>
      <w:proofErr w:type="spellEnd"/>
      <w:r>
        <w:t xml:space="preserve"> property in California </w:t>
      </w:r>
      <w:r>
        <w:br/>
        <w:t xml:space="preserve">- </w:t>
      </w:r>
      <w:proofErr w:type="spellStart"/>
      <w:r>
        <w:t>Pennoyer</w:t>
      </w:r>
      <w:proofErr w:type="spellEnd"/>
      <w:r>
        <w:t xml:space="preserve"> gave Neff the money but Neff has not given </w:t>
      </w:r>
      <w:proofErr w:type="spellStart"/>
      <w:r>
        <w:t>Pennoyer</w:t>
      </w:r>
      <w:proofErr w:type="spellEnd"/>
      <w:r>
        <w:t xml:space="preserve"> the property</w:t>
      </w:r>
      <w:r>
        <w:br/>
        <w:t xml:space="preserve">- </w:t>
      </w:r>
      <w:proofErr w:type="spellStart"/>
      <w:r>
        <w:t>Pennoyer</w:t>
      </w:r>
      <w:proofErr w:type="spellEnd"/>
      <w:r>
        <w:t xml:space="preserve"> asks for an injunction ordering Neff to transfer title to </w:t>
      </w:r>
      <w:proofErr w:type="spellStart"/>
      <w:r>
        <w:t>Pennoyer</w:t>
      </w:r>
      <w:proofErr w:type="spellEnd"/>
      <w:r>
        <w:br/>
        <w:t xml:space="preserve">- Service is in hand on Neff in Oregon. </w:t>
      </w:r>
    </w:p>
    <w:p w:rsidR="00D65BB6" w:rsidRDefault="00977475" w:rsidP="00D65BB6">
      <w:r>
        <w:t xml:space="preserve">- this is an in </w:t>
      </w:r>
      <w:proofErr w:type="spellStart"/>
      <w:r>
        <w:t>personam</w:t>
      </w:r>
      <w:proofErr w:type="spellEnd"/>
      <w:r>
        <w:t xml:space="preserve"> action even though it is about property – the source of PJ is Neff’s presence in state</w:t>
      </w:r>
      <w:r>
        <w:br/>
        <w:t xml:space="preserve">- injunctions must be based on in </w:t>
      </w:r>
      <w:proofErr w:type="spellStart"/>
      <w:r>
        <w:t>personam</w:t>
      </w:r>
      <w:proofErr w:type="spellEnd"/>
      <w:r>
        <w:t xml:space="preserve"> PJ</w:t>
      </w:r>
    </w:p>
    <w:p w:rsidR="00D65BB6" w:rsidRDefault="00D65BB6" w:rsidP="00D65BB6">
      <w:pPr>
        <w:numPr>
          <w:ilvl w:val="12"/>
          <w:numId w:val="0"/>
        </w:numPr>
        <w:rPr>
          <w:szCs w:val="24"/>
        </w:rPr>
      </w:pPr>
    </w:p>
    <w:p w:rsidR="00D65BB6" w:rsidRDefault="00D65BB6" w:rsidP="00D65BB6">
      <w:pPr>
        <w:numPr>
          <w:ilvl w:val="12"/>
          <w:numId w:val="0"/>
        </w:numPr>
        <w:rPr>
          <w:rFonts w:eastAsia="+mj-ea" w:cs="+mj-cs"/>
          <w:color w:val="000000"/>
          <w:kern w:val="24"/>
          <w:szCs w:val="24"/>
        </w:rPr>
      </w:pPr>
    </w:p>
    <w:p w:rsidR="00D65BB6" w:rsidRDefault="00D65BB6" w:rsidP="00D65BB6">
      <w:pPr>
        <w:numPr>
          <w:ilvl w:val="12"/>
          <w:numId w:val="0"/>
        </w:numPr>
      </w:pPr>
      <w:proofErr w:type="spellStart"/>
      <w:r>
        <w:t>Pennoyer</w:t>
      </w:r>
      <w:proofErr w:type="spellEnd"/>
      <w:r>
        <w:t xml:space="preserve">, an Oregon resident, sues Neff, a California resident, in Oregon state court for breach of a contract Neff entered into to sell </w:t>
      </w:r>
      <w:proofErr w:type="spellStart"/>
      <w:r>
        <w:t>Pennoyer</w:t>
      </w:r>
      <w:proofErr w:type="spellEnd"/>
      <w:r>
        <w:t xml:space="preserve"> property in California </w:t>
      </w:r>
      <w:r>
        <w:br/>
        <w:t xml:space="preserve">- </w:t>
      </w:r>
      <w:proofErr w:type="spellStart"/>
      <w:r>
        <w:t>Pennoyer</w:t>
      </w:r>
      <w:proofErr w:type="spellEnd"/>
      <w:r>
        <w:t xml:space="preserve"> gave Neff the money but Neff has not given </w:t>
      </w:r>
      <w:proofErr w:type="spellStart"/>
      <w:r>
        <w:t>Pennoyer</w:t>
      </w:r>
      <w:proofErr w:type="spellEnd"/>
      <w:r>
        <w:t xml:space="preserve"> the property</w:t>
      </w:r>
      <w:r>
        <w:br/>
      </w:r>
      <w:r>
        <w:lastRenderedPageBreak/>
        <w:t xml:space="preserve">- </w:t>
      </w:r>
      <w:proofErr w:type="spellStart"/>
      <w:r>
        <w:t>Pennoyer</w:t>
      </w:r>
      <w:proofErr w:type="spellEnd"/>
      <w:r>
        <w:t xml:space="preserve"> the court to transfer title to </w:t>
      </w:r>
      <w:proofErr w:type="spellStart"/>
      <w:r>
        <w:t>Pennoyer</w:t>
      </w:r>
      <w:proofErr w:type="spellEnd"/>
      <w:r>
        <w:br/>
        <w:t>- Service is in hand on Neff in Oregon.</w:t>
      </w:r>
    </w:p>
    <w:p w:rsidR="00977475" w:rsidRDefault="00977475" w:rsidP="00977475">
      <w:pPr>
        <w:pStyle w:val="ListParagraph"/>
        <w:numPr>
          <w:ilvl w:val="0"/>
          <w:numId w:val="5"/>
        </w:numPr>
      </w:pPr>
      <w:r>
        <w:t>No PJ</w:t>
      </w:r>
    </w:p>
    <w:p w:rsidR="00D65BB6" w:rsidRDefault="00977475" w:rsidP="00977475">
      <w:pPr>
        <w:pStyle w:val="ListParagraph"/>
        <w:numPr>
          <w:ilvl w:val="0"/>
          <w:numId w:val="5"/>
        </w:numPr>
      </w:pPr>
      <w:r>
        <w:t>Only the court of the state where the property is located can change title</w:t>
      </w:r>
    </w:p>
    <w:p w:rsidR="00977475" w:rsidRDefault="00977475" w:rsidP="00977475">
      <w:pPr>
        <w:pStyle w:val="ListParagraph"/>
        <w:numPr>
          <w:ilvl w:val="0"/>
          <w:numId w:val="5"/>
        </w:numPr>
      </w:pPr>
      <w:r>
        <w:t xml:space="preserve">All a state with in </w:t>
      </w:r>
      <w:proofErr w:type="spellStart"/>
      <w:r>
        <w:t>personam</w:t>
      </w:r>
      <w:proofErr w:type="spellEnd"/>
      <w:r>
        <w:t xml:space="preserve"> jurisdiction can do is enjoin </w:t>
      </w:r>
      <w:r w:rsidR="00CF090F">
        <w:t>a person</w:t>
      </w:r>
      <w:r>
        <w:t xml:space="preserve"> to change </w:t>
      </w:r>
      <w:r w:rsidR="00CD5444">
        <w:t>title</w:t>
      </w:r>
    </w:p>
    <w:p w:rsidR="00D65BB6" w:rsidRDefault="00D65BB6" w:rsidP="00D65BB6">
      <w:r>
        <w:t xml:space="preserve">Mitchell brings an action against Neff in Oregon state court concerning $253.14 in legal fees. Neff resides in California. The Oregon state court attaches property owned by Neff worth $300 at the beginning of the suit. </w:t>
      </w:r>
    </w:p>
    <w:p w:rsidR="00D65BB6" w:rsidRDefault="00CD5444" w:rsidP="00CD5444">
      <w:pPr>
        <w:pStyle w:val="ListParagraph"/>
        <w:numPr>
          <w:ilvl w:val="0"/>
          <w:numId w:val="5"/>
        </w:numPr>
      </w:pPr>
      <w:r>
        <w:t xml:space="preserve">PJ - </w:t>
      </w:r>
      <w:r w:rsidR="00D65BB6">
        <w:t>quasi in rem</w:t>
      </w:r>
      <w:r>
        <w:t xml:space="preserve"> (of the first type)</w:t>
      </w:r>
    </w:p>
    <w:p w:rsidR="00D65BB6" w:rsidRDefault="00D65BB6" w:rsidP="00D65BB6">
      <w:pPr>
        <w:numPr>
          <w:ilvl w:val="12"/>
          <w:numId w:val="0"/>
        </w:numPr>
      </w:pPr>
    </w:p>
    <w:p w:rsidR="00EB4EF0" w:rsidRDefault="00EB4EF0" w:rsidP="00EB4EF0">
      <w:pPr>
        <w:ind w:firstLine="720"/>
      </w:pPr>
      <w:r w:rsidRPr="00B42009">
        <w:t>Mitchell brings an action against Neff in Oregon state court concerning $253.14 in legal fees.</w:t>
      </w:r>
      <w:r w:rsidRPr="00B42009">
        <w:br/>
        <w:t xml:space="preserve">The personal jurisdictional basis for the suit is $200 property in Oregon owned by Neff. </w:t>
      </w:r>
      <w:r w:rsidRPr="00B42009">
        <w:br/>
        <w:t xml:space="preserve">Neff defaults. </w:t>
      </w:r>
      <w:r w:rsidRPr="00B42009">
        <w:br/>
        <w:t xml:space="preserve">The property is sold and the money given to Mitchell. </w:t>
      </w:r>
      <w:r w:rsidRPr="00B42009">
        <w:br/>
        <w:t xml:space="preserve">Mitchell then brings a suit </w:t>
      </w:r>
      <w:r w:rsidRPr="00CD5444">
        <w:rPr>
          <w:i/>
        </w:rPr>
        <w:t>on the Oregon judgment</w:t>
      </w:r>
      <w:r w:rsidRPr="00B42009">
        <w:t xml:space="preserve"> in California state court to recover the remaining $53.14. </w:t>
      </w:r>
      <w:r w:rsidRPr="00B42009">
        <w:br/>
        <w:t xml:space="preserve">Service on Neff is in-hand on California. </w:t>
      </w:r>
      <w:r w:rsidRPr="00B42009">
        <w:br/>
        <w:t>What result?</w:t>
      </w:r>
    </w:p>
    <w:p w:rsidR="00EB4EF0" w:rsidRDefault="00CD5444" w:rsidP="00EB4EF0">
      <w:pPr>
        <w:ind w:firstLine="720"/>
      </w:pPr>
      <w:r>
        <w:t>There was only $200 of jurisdiction over Neff in Oregon. That is the limit of its adjudicative power. There is no valid judgment to sue upon in Cal.</w:t>
      </w:r>
    </w:p>
    <w:p w:rsidR="00CF090F" w:rsidRDefault="00CF090F" w:rsidP="00EB4EF0">
      <w:pPr>
        <w:ind w:firstLine="720"/>
      </w:pPr>
    </w:p>
    <w:p w:rsidR="00EB4EF0" w:rsidRDefault="00EB4EF0" w:rsidP="00CD5444">
      <w:pPr>
        <w:ind w:firstLine="720"/>
      </w:pPr>
      <w:r w:rsidRPr="00B42009">
        <w:t>Mitchell brings an action against Neff in Oregon state court concerning $253.14 in legal fees.</w:t>
      </w:r>
      <w:r w:rsidRPr="00B42009">
        <w:br/>
        <w:t xml:space="preserve">The personal jurisdictional basis for the suit is $200 property in Oregon owned by Neff. </w:t>
      </w:r>
      <w:r w:rsidRPr="00B42009">
        <w:br/>
        <w:t xml:space="preserve">Neff defaults. </w:t>
      </w:r>
      <w:r w:rsidRPr="00B42009">
        <w:br/>
        <w:t xml:space="preserve">The property is sold and the money given to Mitchell. </w:t>
      </w:r>
      <w:r w:rsidRPr="00B42009">
        <w:br/>
        <w:t>Mitchell then brings a suit in California state court to recover the remaining $53.14.</w:t>
      </w:r>
      <w:r w:rsidRPr="00B42009">
        <w:br/>
        <w:t>The suit is not to enforce the Oregon judgment but is a new suit on the merits.</w:t>
      </w:r>
      <w:r w:rsidRPr="00B42009">
        <w:br/>
        <w:t>Is Mitchell claim precluded?</w:t>
      </w:r>
    </w:p>
    <w:p w:rsidR="00CD5444" w:rsidRDefault="00CD5444" w:rsidP="00CD5444">
      <w:pPr>
        <w:pStyle w:val="ListParagraph"/>
        <w:numPr>
          <w:ilvl w:val="0"/>
          <w:numId w:val="5"/>
        </w:numPr>
      </w:pPr>
      <w:r>
        <w:t>No – generally he can sue for the remaining amount because the judgment was limited to $200. The remaining $</w:t>
      </w:r>
      <w:r w:rsidR="00CF090F">
        <w:t>53</w:t>
      </w:r>
      <w:r>
        <w:t xml:space="preserve"> is </w:t>
      </w:r>
      <w:proofErr w:type="spellStart"/>
      <w:r>
        <w:t>unlitigated</w:t>
      </w:r>
      <w:proofErr w:type="spellEnd"/>
    </w:p>
    <w:p w:rsidR="00EB4EF0" w:rsidRDefault="00EB4EF0" w:rsidP="00EB4EF0"/>
    <w:p w:rsidR="00EB4EF0" w:rsidRDefault="00EB4EF0" w:rsidP="00EB4EF0">
      <w:r>
        <w:t>Tagging</w:t>
      </w:r>
    </w:p>
    <w:p w:rsidR="00EB4EF0" w:rsidRDefault="00EB4EF0" w:rsidP="00CD5444">
      <w:pPr>
        <w:spacing w:after="0" w:line="240" w:lineRule="auto"/>
        <w:ind w:left="1080"/>
      </w:pPr>
      <w:r w:rsidRPr="005A47E9">
        <w:t xml:space="preserve">Mitchell lures Neff to Oregon with a story that Neff has won a contest. </w:t>
      </w:r>
    </w:p>
    <w:p w:rsidR="00EB4EF0" w:rsidRDefault="00EB4EF0" w:rsidP="00EB4EF0">
      <w:pPr>
        <w:ind w:left="360" w:firstLine="360"/>
      </w:pPr>
      <w:r w:rsidRPr="005A47E9">
        <w:lastRenderedPageBreak/>
        <w:t xml:space="preserve">While he is in Oregon, Neff is served for a suit brought by Mitchell in Oregon state court </w:t>
      </w:r>
      <w:r w:rsidR="00CF090F">
        <w:t>concerning</w:t>
      </w:r>
      <w:r w:rsidRPr="005A47E9">
        <w:t xml:space="preserve"> unpaid </w:t>
      </w:r>
      <w:proofErr w:type="spellStart"/>
      <w:r w:rsidRPr="005A47E9">
        <w:t>lawyers</w:t>
      </w:r>
      <w:proofErr w:type="spellEnd"/>
      <w:r w:rsidRPr="005A47E9">
        <w:t xml:space="preserve"> fees. Neff chooses to default. </w:t>
      </w:r>
    </w:p>
    <w:p w:rsidR="00EB4EF0" w:rsidRDefault="00EB4EF0" w:rsidP="00EB4EF0">
      <w:pPr>
        <w:ind w:left="360" w:firstLine="360"/>
      </w:pPr>
      <w:r w:rsidRPr="005A47E9">
        <w:t xml:space="preserve">Under </w:t>
      </w:r>
      <w:smartTag w:uri="urn:schemas-microsoft-com:office:smarttags" w:element="place">
        <w:smartTag w:uri="urn:schemas-microsoft-com:office:smarttags" w:element="State">
          <w:r w:rsidRPr="005A47E9">
            <w:t>Oregon</w:t>
          </w:r>
        </w:smartTag>
      </w:smartTag>
      <w:r w:rsidRPr="005A47E9">
        <w:t xml:space="preserve"> law, someone can be submitted to personal jurisdiction on the basis of tagging in the state even when the tagging is the result of fraudulent inducement. </w:t>
      </w:r>
    </w:p>
    <w:p w:rsidR="00EB4EF0" w:rsidRDefault="00EB4EF0" w:rsidP="00EB4EF0">
      <w:pPr>
        <w:ind w:left="360" w:firstLine="360"/>
      </w:pPr>
      <w:r w:rsidRPr="005A47E9">
        <w:t xml:space="preserve">Mitchell then brings a suit in </w:t>
      </w:r>
      <w:smartTag w:uri="urn:schemas-microsoft-com:office:smarttags" w:element="State">
        <w:r w:rsidRPr="005A47E9">
          <w:t>California</w:t>
        </w:r>
      </w:smartTag>
      <w:r w:rsidRPr="005A47E9">
        <w:t xml:space="preserve"> state court to execute the </w:t>
      </w:r>
      <w:smartTag w:uri="urn:schemas-microsoft-com:office:smarttags" w:element="place">
        <w:smartTag w:uri="urn:schemas-microsoft-com:office:smarttags" w:element="State">
          <w:r w:rsidRPr="005A47E9">
            <w:t>Oregon</w:t>
          </w:r>
        </w:smartTag>
      </w:smartTag>
      <w:r w:rsidRPr="005A47E9">
        <w:t xml:space="preserve"> judgment. </w:t>
      </w:r>
    </w:p>
    <w:p w:rsidR="00EB4EF0" w:rsidRDefault="00EB4EF0" w:rsidP="00EB4EF0">
      <w:pPr>
        <w:ind w:left="360" w:firstLine="360"/>
      </w:pPr>
      <w:r w:rsidRPr="005A47E9">
        <w:t xml:space="preserve">Under </w:t>
      </w:r>
      <w:smartTag w:uri="urn:schemas-microsoft-com:office:smarttags" w:element="place">
        <w:smartTag w:uri="urn:schemas-microsoft-com:office:smarttags" w:element="State">
          <w:r w:rsidRPr="005A47E9">
            <w:t>California</w:t>
          </w:r>
        </w:smartTag>
      </w:smartTag>
      <w:r w:rsidRPr="005A47E9">
        <w:t xml:space="preserve"> law someone cannot be submitted to personal jurisdiction on the basis of tagging in the state when the tagging is the result of fraudulent inducement. </w:t>
      </w:r>
    </w:p>
    <w:p w:rsidR="00EB4EF0" w:rsidRDefault="00EB4EF0" w:rsidP="00EB4EF0">
      <w:pPr>
        <w:ind w:left="360" w:firstLine="360"/>
      </w:pPr>
      <w:r w:rsidRPr="005A47E9">
        <w:t xml:space="preserve">Neff argues that the earlier </w:t>
      </w:r>
      <w:smartTag w:uri="urn:schemas-microsoft-com:office:smarttags" w:element="place">
        <w:smartTag w:uri="urn:schemas-microsoft-com:office:smarttags" w:element="State">
          <w:r w:rsidRPr="005A47E9">
            <w:t>Oregon</w:t>
          </w:r>
        </w:smartTag>
      </w:smartTag>
      <w:r w:rsidRPr="005A47E9">
        <w:t xml:space="preserve"> judgment is void. </w:t>
      </w:r>
    </w:p>
    <w:p w:rsidR="00EB4EF0" w:rsidRPr="005A47E9" w:rsidRDefault="00EB4EF0" w:rsidP="00EB4EF0">
      <w:pPr>
        <w:ind w:left="360" w:firstLine="360"/>
      </w:pPr>
      <w:r w:rsidRPr="005A47E9">
        <w:t>What result?</w:t>
      </w:r>
    </w:p>
    <w:p w:rsidR="00EB4EF0" w:rsidRDefault="00CD5444" w:rsidP="00CD5444">
      <w:pPr>
        <w:pStyle w:val="ListParagraph"/>
        <w:numPr>
          <w:ilvl w:val="0"/>
          <w:numId w:val="5"/>
        </w:numPr>
      </w:pPr>
      <w:r>
        <w:t>First –</w:t>
      </w:r>
      <w:r w:rsidRPr="00CD5444">
        <w:t xml:space="preserve">Full Faith and Credit: The recognizing jurisdiction must give the judgment the </w:t>
      </w:r>
      <w:r w:rsidRPr="00CD5444">
        <w:rPr>
          <w:i/>
          <w:iCs/>
        </w:rPr>
        <w:t>same preclusive effect</w:t>
      </w:r>
      <w:r w:rsidRPr="00CD5444">
        <w:t xml:space="preserve"> it would have in the rendering jurisdiction’s courts.</w:t>
      </w:r>
      <w:r w:rsidRPr="00CD5444">
        <w:br/>
      </w:r>
      <w:proofErr w:type="gramStart"/>
      <w:r w:rsidRPr="00CD5444">
        <w:t>a</w:t>
      </w:r>
      <w:proofErr w:type="gramEnd"/>
      <w:r w:rsidRPr="00CD5444">
        <w:t xml:space="preserve"> California court must give the Oregon judgment the same preclusive effect it would have in Oregon state court.</w:t>
      </w:r>
    </w:p>
    <w:p w:rsidR="00CD5444" w:rsidRDefault="00CD5444" w:rsidP="00CD5444">
      <w:pPr>
        <w:pStyle w:val="ListParagraph"/>
        <w:numPr>
          <w:ilvl w:val="0"/>
          <w:numId w:val="5"/>
        </w:numPr>
      </w:pPr>
      <w:r>
        <w:t>so because there was PJ under Oregon law the judgment is valid, unless Oregon law is unconstitutional</w:t>
      </w:r>
    </w:p>
    <w:p w:rsidR="00EB4EF0" w:rsidRDefault="00CD5444" w:rsidP="00EB4EF0">
      <w:r>
        <w:t xml:space="preserve">BUT under </w:t>
      </w:r>
      <w:proofErr w:type="spellStart"/>
      <w:r>
        <w:t>Pennoyer</w:t>
      </w:r>
      <w:proofErr w:type="spellEnd"/>
      <w:r>
        <w:t xml:space="preserve"> framework</w:t>
      </w:r>
      <w:r w:rsidR="00CF090F">
        <w:t xml:space="preserve"> it is constitutional</w:t>
      </w:r>
      <w:r>
        <w:t xml:space="preserve"> - </w:t>
      </w:r>
      <w:r w:rsidR="00EB4EF0">
        <w:t>In general it satisfie</w:t>
      </w:r>
      <w:r w:rsidR="00CF090F">
        <w:t>s due process to serve a person</w:t>
      </w:r>
      <w:r w:rsidR="00EB4EF0">
        <w:t xml:space="preserve"> in a state</w:t>
      </w:r>
      <w:r w:rsidR="00CF090F">
        <w:t>,</w:t>
      </w:r>
      <w:r w:rsidR="00EB4EF0">
        <w:t xml:space="preserve"> through fraud</w:t>
      </w:r>
    </w:p>
    <w:p w:rsidR="00EB4EF0" w:rsidRDefault="00CD5444" w:rsidP="00EB4EF0">
      <w:r>
        <w:t>But states generally choose not to use their power to assert PJ</w:t>
      </w:r>
    </w:p>
    <w:p w:rsidR="00EB4EF0" w:rsidRDefault="00CF090F" w:rsidP="00EB4EF0">
      <w:r>
        <w:t>NOT what about someone dragged into state</w:t>
      </w:r>
    </w:p>
    <w:p w:rsidR="00CF090F" w:rsidRDefault="00CF090F" w:rsidP="00CF090F">
      <w:pPr>
        <w:pStyle w:val="ListParagraph"/>
        <w:numPr>
          <w:ilvl w:val="0"/>
          <w:numId w:val="5"/>
        </w:numPr>
      </w:pPr>
      <w:r>
        <w:t xml:space="preserve">unclear whether there is power under </w:t>
      </w:r>
      <w:proofErr w:type="spellStart"/>
      <w:r>
        <w:t>Pennoyer</w:t>
      </w:r>
      <w:proofErr w:type="spellEnd"/>
      <w:r>
        <w:t xml:space="preserve"> framework, but Green thinks there probably is</w:t>
      </w:r>
    </w:p>
    <w:p w:rsidR="00CF090F" w:rsidRDefault="00CF090F" w:rsidP="00CF090F">
      <w:pPr>
        <w:pStyle w:val="ListParagraph"/>
        <w:numPr>
          <w:ilvl w:val="0"/>
          <w:numId w:val="5"/>
        </w:numPr>
      </w:pPr>
      <w:r>
        <w:t>despite the fact that states don’t assert this power</w:t>
      </w:r>
    </w:p>
    <w:p w:rsidR="00CF090F" w:rsidRDefault="00CF090F" w:rsidP="00CF090F">
      <w:pPr>
        <w:pStyle w:val="ListParagraph"/>
        <w:numPr>
          <w:ilvl w:val="0"/>
          <w:numId w:val="5"/>
        </w:numPr>
      </w:pPr>
      <w:r>
        <w:t>note about reading – I gave you the First Restatement to read – this suggests that there is no PJ over those forced to be in state</w:t>
      </w:r>
    </w:p>
    <w:p w:rsidR="00CF090F" w:rsidRDefault="00CF090F" w:rsidP="00CF090F">
      <w:pPr>
        <w:pStyle w:val="ListParagraph"/>
      </w:pPr>
      <w:r>
        <w:t>§ 78. Individu</w:t>
      </w:r>
      <w:r>
        <w:t xml:space="preserve">al </w:t>
      </w:r>
      <w:r w:rsidRPr="00CF090F">
        <w:rPr>
          <w:b/>
        </w:rPr>
        <w:t>Voluntarily</w:t>
      </w:r>
      <w:r>
        <w:t xml:space="preserve"> Within </w:t>
      </w:r>
      <w:proofErr w:type="gramStart"/>
      <w:r>
        <w:t>The</w:t>
      </w:r>
      <w:proofErr w:type="gramEnd"/>
      <w:r>
        <w:t xml:space="preserve"> State</w:t>
      </w:r>
      <w:r>
        <w:br/>
        <w:t xml:space="preserve">A state can exercise through its </w:t>
      </w:r>
      <w:proofErr w:type="spellStart"/>
      <w:r>
        <w:t>courts</w:t>
      </w:r>
      <w:proofErr w:type="spellEnd"/>
      <w:r>
        <w:t xml:space="preserve"> jurisdiction over an individual voluntarily within its territory whether he is permanently or only temporarily there.</w:t>
      </w:r>
    </w:p>
    <w:p w:rsidR="00CF090F" w:rsidRDefault="00CF090F" w:rsidP="00CF090F">
      <w:pPr>
        <w:pStyle w:val="ListParagraph"/>
        <w:numPr>
          <w:ilvl w:val="0"/>
          <w:numId w:val="5"/>
        </w:numPr>
      </w:pPr>
      <w:r>
        <w:t>But the First Restatement articulates what at the time was the common law on PJ in the states – that is what the states generally did not</w:t>
      </w:r>
    </w:p>
    <w:p w:rsidR="00CF090F" w:rsidRDefault="00CF090F" w:rsidP="00CF090F">
      <w:pPr>
        <w:pStyle w:val="ListParagraph"/>
        <w:numPr>
          <w:ilvl w:val="1"/>
          <w:numId w:val="5"/>
        </w:numPr>
      </w:pPr>
      <w:r>
        <w:t>It isn’t an articulation of the constitutional restrictions</w:t>
      </w:r>
    </w:p>
    <w:p w:rsidR="00CF090F" w:rsidRDefault="00CF090F" w:rsidP="00CF090F">
      <w:pPr>
        <w:pStyle w:val="ListParagraph"/>
        <w:numPr>
          <w:ilvl w:val="1"/>
          <w:numId w:val="5"/>
        </w:numPr>
      </w:pPr>
    </w:p>
    <w:p w:rsidR="00EB4EF0" w:rsidRDefault="00EB4EF0" w:rsidP="00EB4EF0">
      <w:pPr>
        <w:rPr>
          <w:lang w:val="en-CA"/>
        </w:rPr>
      </w:pPr>
      <w:r>
        <w:rPr>
          <w:b/>
          <w:bCs/>
          <w:lang w:val="en-CA"/>
        </w:rPr>
        <w:t>Litigation Activities in the State</w:t>
      </w:r>
    </w:p>
    <w:p w:rsidR="00EB4EF0" w:rsidRDefault="00EB4EF0" w:rsidP="00EB4EF0">
      <w:pPr>
        <w:rPr>
          <w:lang w:val="en-CA"/>
        </w:rPr>
      </w:pPr>
    </w:p>
    <w:p w:rsidR="00EB4EF0" w:rsidRDefault="00EB4EF0" w:rsidP="00EB4EF0">
      <w:r w:rsidRPr="00F911DA">
        <w:lastRenderedPageBreak/>
        <w:t xml:space="preserve">Mitchell sues Neff in </w:t>
      </w:r>
      <w:smartTag w:uri="urn:schemas-microsoft-com:office:smarttags" w:element="State">
        <w:smartTag w:uri="urn:schemas-microsoft-com:office:smarttags" w:element="place">
          <w:r w:rsidRPr="00F911DA">
            <w:t>Oregon</w:t>
          </w:r>
        </w:smartTag>
      </w:smartTag>
      <w:r w:rsidRPr="00F911DA">
        <w:t xml:space="preserve"> state court. Neff has no connection to the state but does not want to default. </w:t>
      </w:r>
    </w:p>
    <w:p w:rsidR="00EB4EF0" w:rsidRPr="00F911DA" w:rsidRDefault="00EB4EF0" w:rsidP="00EB4EF0">
      <w:r w:rsidRPr="00F911DA">
        <w:t xml:space="preserve">He appears solely for the purpose of challenging personal jurisdiction. May the Oregon court nevertheless take Neff's presence (including through his lawyer) to be consent to in </w:t>
      </w:r>
      <w:proofErr w:type="spellStart"/>
      <w:r w:rsidRPr="00F911DA">
        <w:t>personam</w:t>
      </w:r>
      <w:proofErr w:type="spellEnd"/>
      <w:r w:rsidRPr="00F911DA">
        <w:t xml:space="preserve"> jurisdiction?</w:t>
      </w:r>
    </w:p>
    <w:p w:rsidR="00EB4EF0" w:rsidRDefault="00EB4EF0" w:rsidP="00EB4EF0">
      <w:pPr>
        <w:rPr>
          <w:lang w:val="en-CA"/>
        </w:rPr>
      </w:pPr>
      <w:r w:rsidRPr="00F911DA">
        <w:t>Yes –</w:t>
      </w:r>
      <w:r>
        <w:rPr>
          <w:lang w:val="en-CA"/>
        </w:rPr>
        <w:t xml:space="preserve">approved by </w:t>
      </w:r>
      <w:proofErr w:type="spellStart"/>
      <w:r>
        <w:rPr>
          <w:lang w:val="en-CA"/>
        </w:rPr>
        <w:t>SCt</w:t>
      </w:r>
      <w:proofErr w:type="spellEnd"/>
      <w:r>
        <w:rPr>
          <w:lang w:val="en-CA"/>
        </w:rPr>
        <w:t xml:space="preserve"> in York v Texas</w:t>
      </w:r>
    </w:p>
    <w:p w:rsidR="00CD5444" w:rsidRDefault="00CD5444" w:rsidP="00EB4EF0">
      <w:pPr>
        <w:rPr>
          <w:lang w:val="en-CA"/>
        </w:rPr>
      </w:pPr>
      <w:r>
        <w:rPr>
          <w:lang w:val="en-CA"/>
        </w:rPr>
        <w:t>BUT now states do not assert this power</w:t>
      </w:r>
    </w:p>
    <w:p w:rsidR="00CD5444" w:rsidRDefault="00CD5444" w:rsidP="00EB4EF0">
      <w:pPr>
        <w:rPr>
          <w:lang w:val="en-CA"/>
        </w:rPr>
      </w:pPr>
    </w:p>
    <w:p w:rsidR="00CD5444" w:rsidRDefault="00CD5444" w:rsidP="00EB4EF0">
      <w:pPr>
        <w:rPr>
          <w:lang w:val="en-CA"/>
        </w:rPr>
      </w:pPr>
      <w:r>
        <w:rPr>
          <w:lang w:val="en-CA"/>
        </w:rPr>
        <w:t>Some allow special appearances</w:t>
      </w:r>
    </w:p>
    <w:p w:rsidR="00CD5444" w:rsidRDefault="00CD5444" w:rsidP="00CD5444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in which a D may appear to argue lack of PJ without creating PJ in so arguing</w:t>
      </w:r>
    </w:p>
    <w:p w:rsidR="00CD5444" w:rsidRPr="00CD5444" w:rsidRDefault="00CD5444" w:rsidP="00CD5444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but special appearances require that </w:t>
      </w:r>
      <w:proofErr w:type="spellStart"/>
      <w:r>
        <w:rPr>
          <w:lang w:val="en-CA"/>
        </w:rPr>
        <w:t>D</w:t>
      </w:r>
      <w:proofErr w:type="spellEnd"/>
      <w:r>
        <w:rPr>
          <w:lang w:val="en-CA"/>
        </w:rPr>
        <w:t xml:space="preserve"> not bring up the merits</w:t>
      </w:r>
    </w:p>
    <w:p w:rsidR="00EB4EF0" w:rsidRDefault="00EB4EF0" w:rsidP="00EB4EF0">
      <w:r w:rsidRPr="00F911DA">
        <w:t xml:space="preserve">Mitchell sues Neff in Oregon state court. </w:t>
      </w:r>
    </w:p>
    <w:p w:rsidR="00EB4EF0" w:rsidRDefault="00EB4EF0" w:rsidP="00EB4EF0">
      <w:r w:rsidRPr="00F911DA">
        <w:t xml:space="preserve">Neff has no connection to the state but does not want to default. </w:t>
      </w:r>
    </w:p>
    <w:p w:rsidR="00EB4EF0" w:rsidRDefault="00EB4EF0" w:rsidP="00EB4EF0">
      <w:r w:rsidRPr="00F911DA">
        <w:t xml:space="preserve">He appears for the purpose of challenging personal jurisdiction but also adds the defense of failure to state a claim. </w:t>
      </w:r>
    </w:p>
    <w:p w:rsidR="00EB4EF0" w:rsidRPr="00F911DA" w:rsidRDefault="00EB4EF0" w:rsidP="00EB4EF0">
      <w:r w:rsidRPr="00F911DA">
        <w:t xml:space="preserve">What result? </w:t>
      </w:r>
      <w:r w:rsidR="00CD5444">
        <w:t>Under special appearance approach, there is PJ, because D brought up the merits</w:t>
      </w:r>
    </w:p>
    <w:p w:rsidR="00EB4EF0" w:rsidRDefault="00EB4EF0" w:rsidP="00EB4EF0">
      <w:pPr>
        <w:rPr>
          <w:lang w:val="en-CA"/>
        </w:rPr>
      </w:pPr>
    </w:p>
    <w:p w:rsidR="00CD5444" w:rsidRDefault="00CD5444" w:rsidP="00EB4EF0">
      <w:pPr>
        <w:rPr>
          <w:lang w:val="en-CA"/>
        </w:rPr>
      </w:pPr>
      <w:r>
        <w:rPr>
          <w:lang w:val="en-CA"/>
        </w:rPr>
        <w:t>In federal court and some state courts the approach is even more generous</w:t>
      </w:r>
    </w:p>
    <w:p w:rsidR="00CD5444" w:rsidRPr="00CD5444" w:rsidRDefault="00CD5444" w:rsidP="00CD5444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D can appear to bring up lack of PJ as a defense and can join it with defenses on the merits</w:t>
      </w:r>
    </w:p>
    <w:p w:rsidR="00CD5444" w:rsidRDefault="00CD5444" w:rsidP="00EB4EF0">
      <w:pPr>
        <w:spacing w:before="100" w:beforeAutospacing="1" w:after="100" w:afterAutospacing="1"/>
        <w:rPr>
          <w:lang w:val="en-CA"/>
        </w:rPr>
      </w:pPr>
    </w:p>
    <w:p w:rsidR="00EB4EF0" w:rsidRDefault="00EB4EF0" w:rsidP="00EB4EF0">
      <w:pPr>
        <w:spacing w:before="100" w:beforeAutospacing="1" w:after="100" w:afterAutospacing="1"/>
      </w:pPr>
      <w:r w:rsidRPr="00000732">
        <w:t xml:space="preserve">Mitchell brings an action against Neff in Oregon state court concerning $253.14 in legal fees. The personal jurisdictional basis for the suit is $200 property in </w:t>
      </w:r>
      <w:smartTag w:uri="urn:schemas-microsoft-com:office:smarttags" w:element="State">
        <w:smartTag w:uri="urn:schemas-microsoft-com:office:smarttags" w:element="place">
          <w:r w:rsidRPr="00000732">
            <w:t>Oregon</w:t>
          </w:r>
        </w:smartTag>
      </w:smartTag>
      <w:r w:rsidRPr="00000732">
        <w:t xml:space="preserve"> owned by Neff. The </w:t>
      </w:r>
      <w:smartTag w:uri="urn:schemas-microsoft-com:office:smarttags" w:element="State">
        <w:smartTag w:uri="urn:schemas-microsoft-com:office:smarttags" w:element="place">
          <w:r w:rsidRPr="00000732">
            <w:t>Oregon</w:t>
          </w:r>
        </w:smartTag>
      </w:smartTag>
      <w:r w:rsidRPr="00000732">
        <w:t xml:space="preserve"> state court attaches the property at the beginning of the suit. Neff appears, but solely to litigate liability up to the value of the property attached. May the </w:t>
      </w:r>
      <w:smartTag w:uri="urn:schemas-microsoft-com:office:smarttags" w:element="State">
        <w:smartTag w:uri="urn:schemas-microsoft-com:office:smarttags" w:element="place">
          <w:r w:rsidRPr="00000732">
            <w:t>Oregon</w:t>
          </w:r>
        </w:smartTag>
      </w:smartTag>
      <w:r w:rsidRPr="00000732">
        <w:t xml:space="preserve"> court nevertheless take Neff's presence (including through his lawyer) to be consent to in </w:t>
      </w:r>
      <w:proofErr w:type="spellStart"/>
      <w:r w:rsidRPr="00000732">
        <w:t>personam</w:t>
      </w:r>
      <w:proofErr w:type="spellEnd"/>
      <w:r w:rsidRPr="00000732">
        <w:t xml:space="preserve"> jurisdiction? </w:t>
      </w:r>
    </w:p>
    <w:p w:rsidR="00EB4EF0" w:rsidRDefault="00A1218C" w:rsidP="00EB4EF0">
      <w:pPr>
        <w:rPr>
          <w:lang w:val="en-CA"/>
        </w:rPr>
      </w:pPr>
      <w:r>
        <w:rPr>
          <w:lang w:val="en-CA"/>
        </w:rPr>
        <w:t>- Yes</w:t>
      </w:r>
    </w:p>
    <w:p w:rsidR="00EB4EF0" w:rsidRDefault="00EB4EF0" w:rsidP="00EB4EF0">
      <w:pPr>
        <w:rPr>
          <w:lang w:val="en-CA"/>
        </w:rPr>
      </w:pPr>
      <w:r>
        <w:rPr>
          <w:lang w:val="en-CA"/>
        </w:rPr>
        <w:t>-</w:t>
      </w:r>
      <w:r>
        <w:rPr>
          <w:lang w:val="en-CA"/>
        </w:rPr>
        <w:tab/>
      </w:r>
      <w:r>
        <w:rPr>
          <w:lang w:val="en-CA"/>
        </w:rPr>
        <w:tab/>
        <w:t>does this mean that Oregon does not allow special appearances – NO, could still</w:t>
      </w:r>
      <w:r w:rsidR="00A1218C">
        <w:rPr>
          <w:lang w:val="en-CA"/>
        </w:rPr>
        <w:t xml:space="preserve"> allow a D to appear to claim the court has no PJ power, but here the court clearly does</w:t>
      </w:r>
      <w:r w:rsidR="00EA01F3">
        <w:rPr>
          <w:lang w:val="en-CA"/>
        </w:rPr>
        <w:t xml:space="preserve"> have some power</w:t>
      </w:r>
    </w:p>
    <w:p w:rsidR="00EB4EF0" w:rsidRDefault="00A1218C" w:rsidP="00EB4EF0">
      <w:pPr>
        <w:rPr>
          <w:lang w:val="en-CA"/>
        </w:rPr>
      </w:pPr>
      <w:r>
        <w:rPr>
          <w:lang w:val="en-CA"/>
        </w:rPr>
        <w:t xml:space="preserve">BUT – some states allow </w:t>
      </w:r>
      <w:r w:rsidR="00EB4EF0">
        <w:rPr>
          <w:b/>
          <w:bCs/>
          <w:lang w:val="en-CA"/>
        </w:rPr>
        <w:t>limited</w:t>
      </w:r>
      <w:r w:rsidR="00EB4EF0">
        <w:rPr>
          <w:lang w:val="en-CA"/>
        </w:rPr>
        <w:t xml:space="preserve"> </w:t>
      </w:r>
      <w:r>
        <w:rPr>
          <w:lang w:val="en-CA"/>
        </w:rPr>
        <w:t>appearances</w:t>
      </w:r>
      <w:r w:rsidR="00EB4EF0">
        <w:rPr>
          <w:lang w:val="en-CA"/>
        </w:rPr>
        <w:t xml:space="preserve"> </w:t>
      </w:r>
    </w:p>
    <w:p w:rsidR="00A1218C" w:rsidRPr="00A1218C" w:rsidRDefault="00A1218C" w:rsidP="00A1218C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lastRenderedPageBreak/>
        <w:t>You appear in a quasi in rem action but to litigate up to the value of the property</w:t>
      </w:r>
    </w:p>
    <w:p w:rsidR="00EB4EF0" w:rsidRDefault="00EB4EF0" w:rsidP="00EB4EF0">
      <w:r>
        <w:tab/>
      </w:r>
      <w:r>
        <w:tab/>
      </w:r>
    </w:p>
    <w:p w:rsidR="00EB4EF0" w:rsidRDefault="00EB4EF0" w:rsidP="00EB4EF0">
      <w:pPr>
        <w:ind w:firstLine="360"/>
      </w:pPr>
      <w:r w:rsidRPr="00E8795E">
        <w:t xml:space="preserve">Mitchell has Neff tagged in </w:t>
      </w:r>
      <w:smartTag w:uri="urn:schemas-microsoft-com:office:smarttags" w:element="State">
        <w:smartTag w:uri="urn:schemas-microsoft-com:office:smarttags" w:element="place">
          <w:r w:rsidRPr="00E8795E">
            <w:t>Oregon</w:t>
          </w:r>
        </w:smartTag>
      </w:smartTag>
      <w:r w:rsidRPr="00E8795E">
        <w:t xml:space="preserve"> while he is there for a business trip</w:t>
      </w:r>
      <w:r>
        <w:t xml:space="preserve">. </w:t>
      </w:r>
    </w:p>
    <w:p w:rsidR="00EB4EF0" w:rsidRDefault="00EB4EF0" w:rsidP="00EB4EF0">
      <w:pPr>
        <w:ind w:firstLine="360"/>
      </w:pPr>
      <w:r>
        <w:t xml:space="preserve">Mitchell’s suit is in </w:t>
      </w:r>
      <w:smartTag w:uri="urn:schemas-microsoft-com:office:smarttags" w:element="State">
        <w:smartTag w:uri="urn:schemas-microsoft-com:office:smarttags" w:element="place">
          <w:r>
            <w:t>Oregon</w:t>
          </w:r>
        </w:smartTag>
      </w:smartTag>
      <w:r>
        <w:t xml:space="preserve"> state court</w:t>
      </w:r>
      <w:r w:rsidRPr="00E8795E">
        <w:t xml:space="preserve"> </w:t>
      </w:r>
      <w:r>
        <w:t>and concerns</w:t>
      </w:r>
      <w:r w:rsidRPr="00E8795E">
        <w:t xml:space="preserve"> unpaid </w:t>
      </w:r>
      <w:proofErr w:type="spellStart"/>
      <w:r w:rsidRPr="00E8795E">
        <w:t>lawyers</w:t>
      </w:r>
      <w:proofErr w:type="spellEnd"/>
      <w:r w:rsidRPr="00E8795E">
        <w:t xml:space="preserve"> fees. </w:t>
      </w:r>
    </w:p>
    <w:p w:rsidR="00EB4EF0" w:rsidRDefault="00EB4EF0" w:rsidP="00EB4EF0">
      <w:pPr>
        <w:ind w:firstLine="360"/>
      </w:pPr>
      <w:r w:rsidRPr="00E8795E">
        <w:t xml:space="preserve">Neff appears to litigate the merits. </w:t>
      </w:r>
    </w:p>
    <w:p w:rsidR="00EB4EF0" w:rsidRDefault="00EB4EF0" w:rsidP="00EB4EF0">
      <w:pPr>
        <w:ind w:firstLine="360"/>
      </w:pPr>
      <w:r w:rsidRPr="00E8795E">
        <w:t xml:space="preserve">While Neff is there </w:t>
      </w:r>
      <w:proofErr w:type="spellStart"/>
      <w:r w:rsidRPr="00E8795E">
        <w:t>Pennoyer</w:t>
      </w:r>
      <w:proofErr w:type="spellEnd"/>
      <w:r w:rsidRPr="00E8795E">
        <w:t xml:space="preserve"> has him served in connection with another unrelated suit, brought in </w:t>
      </w:r>
      <w:smartTag w:uri="urn:schemas-microsoft-com:office:smarttags" w:element="State">
        <w:r w:rsidRPr="00E8795E">
          <w:t>Oregon</w:t>
        </w:r>
      </w:smartTag>
      <w:r w:rsidRPr="00E8795E">
        <w:t xml:space="preserve"> state court, concerning a brawl in </w:t>
      </w:r>
      <w:smartTag w:uri="urn:schemas-microsoft-com:office:smarttags" w:element="place">
        <w:smartTag w:uri="urn:schemas-microsoft-com:office:smarttags" w:element="State">
          <w:r w:rsidRPr="00E8795E">
            <w:t>California</w:t>
          </w:r>
        </w:smartTag>
      </w:smartTag>
      <w:r w:rsidRPr="00E8795E">
        <w:t xml:space="preserve">. </w:t>
      </w:r>
    </w:p>
    <w:p w:rsidR="00EB4EF0" w:rsidRDefault="00EB4EF0" w:rsidP="00EB4EF0">
      <w:pPr>
        <w:ind w:firstLine="360"/>
      </w:pPr>
      <w:r w:rsidRPr="00E8795E">
        <w:t xml:space="preserve">Neff chooses to default. Under </w:t>
      </w:r>
      <w:smartTag w:uri="urn:schemas-microsoft-com:office:smarttags" w:element="place">
        <w:smartTag w:uri="urn:schemas-microsoft-com:office:smarttags" w:element="State">
          <w:r w:rsidRPr="00E8795E">
            <w:t>Oregon</w:t>
          </w:r>
        </w:smartTag>
      </w:smartTag>
      <w:r w:rsidRPr="00E8795E">
        <w:t xml:space="preserve"> law, someone can be submitted to personal jurisdiction on the basis of tagging in the state even when in the state for litigation. </w:t>
      </w:r>
    </w:p>
    <w:p w:rsidR="00EB4EF0" w:rsidRDefault="00EB4EF0" w:rsidP="00EB4EF0">
      <w:pPr>
        <w:ind w:firstLine="360"/>
      </w:pPr>
      <w:proofErr w:type="spellStart"/>
      <w:r w:rsidRPr="00E8795E">
        <w:t>Pennoyer</w:t>
      </w:r>
      <w:proofErr w:type="spellEnd"/>
      <w:r w:rsidRPr="00E8795E">
        <w:t xml:space="preserve"> then brings a suit in </w:t>
      </w:r>
      <w:smartTag w:uri="urn:schemas-microsoft-com:office:smarttags" w:element="State">
        <w:r w:rsidRPr="00E8795E">
          <w:t>California</w:t>
        </w:r>
      </w:smartTag>
      <w:r w:rsidRPr="00E8795E">
        <w:t xml:space="preserve"> state court to execute the </w:t>
      </w:r>
      <w:smartTag w:uri="urn:schemas-microsoft-com:office:smarttags" w:element="place">
        <w:smartTag w:uri="urn:schemas-microsoft-com:office:smarttags" w:element="State">
          <w:r w:rsidRPr="00E8795E">
            <w:t>Oregon</w:t>
          </w:r>
        </w:smartTag>
      </w:smartTag>
      <w:r w:rsidRPr="00E8795E">
        <w:t xml:space="preserve"> judgment. </w:t>
      </w:r>
    </w:p>
    <w:p w:rsidR="00EB4EF0" w:rsidRDefault="00EB4EF0" w:rsidP="00EB4EF0">
      <w:pPr>
        <w:ind w:firstLine="360"/>
      </w:pPr>
      <w:r w:rsidRPr="00E8795E">
        <w:t xml:space="preserve">Under </w:t>
      </w:r>
      <w:smartTag w:uri="urn:schemas-microsoft-com:office:smarttags" w:element="place">
        <w:smartTag w:uri="urn:schemas-microsoft-com:office:smarttags" w:element="State">
          <w:r w:rsidRPr="00E8795E">
            <w:t>California</w:t>
          </w:r>
        </w:smartTag>
      </w:smartTag>
      <w:r w:rsidRPr="00E8795E">
        <w:t xml:space="preserve"> law someone is immune from service (in other words, cannot be submitted to personal jurisdiction) while in the state for litigation activities. </w:t>
      </w:r>
    </w:p>
    <w:p w:rsidR="00EB4EF0" w:rsidRDefault="00EB4EF0" w:rsidP="00EB4EF0">
      <w:pPr>
        <w:ind w:firstLine="360"/>
      </w:pPr>
      <w:r w:rsidRPr="00E8795E">
        <w:t xml:space="preserve">Neff argues that the earlier </w:t>
      </w:r>
      <w:smartTag w:uri="urn:schemas-microsoft-com:office:smarttags" w:element="place">
        <w:smartTag w:uri="urn:schemas-microsoft-com:office:smarttags" w:element="State">
          <w:r w:rsidRPr="00E8795E">
            <w:t>Oregon</w:t>
          </w:r>
        </w:smartTag>
      </w:smartTag>
      <w:r w:rsidRPr="00E8795E">
        <w:t xml:space="preserve"> judgment is void. </w:t>
      </w:r>
    </w:p>
    <w:p w:rsidR="00EB4EF0" w:rsidRDefault="00EB4EF0" w:rsidP="00EB4EF0">
      <w:pPr>
        <w:ind w:firstLine="360"/>
      </w:pPr>
      <w:r w:rsidRPr="00E8795E">
        <w:t>What result?</w:t>
      </w:r>
    </w:p>
    <w:p w:rsidR="00EA01F3" w:rsidRDefault="00EA01F3" w:rsidP="00A1218C">
      <w:pPr>
        <w:pStyle w:val="ListParagraph"/>
        <w:numPr>
          <w:ilvl w:val="0"/>
          <w:numId w:val="5"/>
        </w:numPr>
      </w:pPr>
      <w:r>
        <w:t>Under Full Faith and Credit, use</w:t>
      </w:r>
      <w:r w:rsidR="00A1218C">
        <w:t xml:space="preserve"> Oregon</w:t>
      </w:r>
      <w:r>
        <w:t xml:space="preserve"> law, unless unconstitutional</w:t>
      </w:r>
    </w:p>
    <w:p w:rsidR="00EB4EF0" w:rsidRDefault="00EA01F3" w:rsidP="00A1218C">
      <w:pPr>
        <w:pStyle w:val="ListParagraph"/>
        <w:numPr>
          <w:ilvl w:val="0"/>
          <w:numId w:val="5"/>
        </w:numPr>
      </w:pPr>
      <w:r>
        <w:t>B</w:t>
      </w:r>
      <w:r w:rsidR="00A1218C">
        <w:t xml:space="preserve">ut it is constitutional under </w:t>
      </w:r>
      <w:proofErr w:type="spellStart"/>
      <w:r w:rsidR="00A1218C">
        <w:t>Pennoyer</w:t>
      </w:r>
      <w:proofErr w:type="spellEnd"/>
      <w:r w:rsidR="00A1218C">
        <w:t xml:space="preserve"> framework</w:t>
      </w:r>
    </w:p>
    <w:p w:rsidR="00A1218C" w:rsidRDefault="00A1218C" w:rsidP="00A1218C">
      <w:pPr>
        <w:pStyle w:val="ListParagraph"/>
        <w:numPr>
          <w:ilvl w:val="0"/>
          <w:numId w:val="5"/>
        </w:numPr>
      </w:pPr>
      <w:r>
        <w:t>Still some states allow immunity from PJ while a D is in the state to litigate</w:t>
      </w:r>
    </w:p>
    <w:p w:rsidR="00A1218C" w:rsidRDefault="00A1218C" w:rsidP="00A1218C">
      <w:pPr>
        <w:pStyle w:val="ListParagraph"/>
        <w:numPr>
          <w:ilvl w:val="0"/>
          <w:numId w:val="5"/>
        </w:numPr>
      </w:pPr>
      <w:r>
        <w:t>Most common with respect to witnesses</w:t>
      </w:r>
      <w:bookmarkStart w:id="0" w:name="_GoBack"/>
      <w:bookmarkEnd w:id="0"/>
    </w:p>
    <w:p w:rsidR="00E27932" w:rsidRDefault="00E27932"/>
    <w:sectPr w:rsidR="00E27932" w:rsidSect="00756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3FD6"/>
    <w:multiLevelType w:val="hybridMultilevel"/>
    <w:tmpl w:val="C03C3E7C"/>
    <w:lvl w:ilvl="0" w:tplc="DF8EE550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D0D61"/>
    <w:multiLevelType w:val="hybridMultilevel"/>
    <w:tmpl w:val="0BF4E8F4"/>
    <w:lvl w:ilvl="0" w:tplc="8D1846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67A25"/>
    <w:multiLevelType w:val="hybridMultilevel"/>
    <w:tmpl w:val="64B8765E"/>
    <w:lvl w:ilvl="0" w:tplc="56DEF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5424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E0206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FAA3E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CDAC3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AC65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B062D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5C21D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732F5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306E1733"/>
    <w:multiLevelType w:val="hybridMultilevel"/>
    <w:tmpl w:val="981A85EC"/>
    <w:lvl w:ilvl="0" w:tplc="E1423876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55271E"/>
    <w:multiLevelType w:val="hybridMultilevel"/>
    <w:tmpl w:val="013A6270"/>
    <w:lvl w:ilvl="0" w:tplc="20920B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663028"/>
    <w:multiLevelType w:val="hybridMultilevel"/>
    <w:tmpl w:val="48901DA0"/>
    <w:lvl w:ilvl="0" w:tplc="D3226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FE32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DF246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78E93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2CCBA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D4604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B905C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B5850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C72E7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455A52B4"/>
    <w:multiLevelType w:val="hybridMultilevel"/>
    <w:tmpl w:val="28E896DE"/>
    <w:lvl w:ilvl="0" w:tplc="67328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9C0D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B3E31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80C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AC18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EE0CD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132DC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8E4FE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7D085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5BB45461"/>
    <w:multiLevelType w:val="hybridMultilevel"/>
    <w:tmpl w:val="17DA6ED4"/>
    <w:lvl w:ilvl="0" w:tplc="8494A0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5755EE"/>
    <w:multiLevelType w:val="hybridMultilevel"/>
    <w:tmpl w:val="37BEEFFC"/>
    <w:lvl w:ilvl="0" w:tplc="60D404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14863"/>
    <w:multiLevelType w:val="hybridMultilevel"/>
    <w:tmpl w:val="90FC9918"/>
    <w:lvl w:ilvl="0" w:tplc="B6902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B0B0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82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7CE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204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98D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2B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A4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F0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B6"/>
    <w:rsid w:val="00265EA4"/>
    <w:rsid w:val="00977475"/>
    <w:rsid w:val="00A1218C"/>
    <w:rsid w:val="00CD5444"/>
    <w:rsid w:val="00CF090F"/>
    <w:rsid w:val="00D65BB6"/>
    <w:rsid w:val="00E27932"/>
    <w:rsid w:val="00EA01F3"/>
    <w:rsid w:val="00EB4EF0"/>
    <w:rsid w:val="00EF5820"/>
    <w:rsid w:val="00F3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327CB-6B1A-4A13-A75D-9D20591F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B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B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5BB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sz w:val="24"/>
      <w:szCs w:val="24"/>
    </w:rPr>
  </w:style>
  <w:style w:type="character" w:customStyle="1" w:styleId="apple-style-span">
    <w:name w:val="apple-style-span"/>
    <w:basedOn w:val="DefaultParagraphFont"/>
    <w:rsid w:val="00D65BB6"/>
  </w:style>
  <w:style w:type="paragraph" w:styleId="BalloonText">
    <w:name w:val="Balloon Text"/>
    <w:basedOn w:val="Normal"/>
    <w:link w:val="BalloonTextChar"/>
    <w:uiPriority w:val="99"/>
    <w:semiHidden/>
    <w:unhideWhenUsed/>
    <w:rsid w:val="00A1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Boyce</dc:creator>
  <cp:keywords/>
  <dc:description/>
  <cp:lastModifiedBy>Green, Michael S</cp:lastModifiedBy>
  <cp:revision>5</cp:revision>
  <cp:lastPrinted>2014-09-23T16:25:00Z</cp:lastPrinted>
  <dcterms:created xsi:type="dcterms:W3CDTF">2014-09-23T15:52:00Z</dcterms:created>
  <dcterms:modified xsi:type="dcterms:W3CDTF">2014-09-23T16:45:00Z</dcterms:modified>
</cp:coreProperties>
</file>