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48" w:rsidRDefault="00281148">
      <w:pPr>
        <w:rPr>
          <w:rFonts w:ascii="Times" w:hAnsi="Times"/>
        </w:rPr>
      </w:pPr>
      <w:r>
        <w:rPr>
          <w:rFonts w:ascii="Times" w:hAnsi="Times"/>
        </w:rPr>
        <w:t>Class Notes for Thursday September 12</w:t>
      </w:r>
      <w:r w:rsidRPr="00892EEE">
        <w:rPr>
          <w:rFonts w:ascii="Times" w:hAnsi="Times"/>
          <w:vertAlign w:val="superscript"/>
        </w:rPr>
        <w:t>th</w:t>
      </w:r>
    </w:p>
    <w:p w:rsidR="00281148" w:rsidRDefault="00281148">
      <w:pPr>
        <w:rPr>
          <w:rFonts w:ascii="Times" w:hAnsi="Times"/>
        </w:rPr>
      </w:pPr>
    </w:p>
    <w:p w:rsidR="00281148" w:rsidRPr="00892EEE" w:rsidRDefault="00281148">
      <w:pPr>
        <w:rPr>
          <w:rFonts w:ascii="Times" w:hAnsi="Times"/>
        </w:rPr>
      </w:pPr>
      <w:r w:rsidRPr="00892EEE">
        <w:rPr>
          <w:rFonts w:ascii="Times" w:hAnsi="Times"/>
        </w:rPr>
        <w:t xml:space="preserve">Provision in 4(h) when defendant is a corporation </w:t>
      </w:r>
    </w:p>
    <w:p w:rsidR="00281148" w:rsidRPr="00892EEE" w:rsidRDefault="00281148" w:rsidP="00B576F4">
      <w:pPr>
        <w:pStyle w:val="ListParagraph"/>
        <w:numPr>
          <w:ilvl w:val="0"/>
          <w:numId w:val="3"/>
        </w:numPr>
        <w:rPr>
          <w:rFonts w:ascii="Times" w:hAnsi="Times"/>
        </w:rPr>
      </w:pPr>
      <w:r w:rsidRPr="00892EEE">
        <w:rPr>
          <w:rFonts w:ascii="Times" w:hAnsi="Times"/>
        </w:rPr>
        <w:t>Talks about delivering, does not specify delivering personally, as 4(e) does</w:t>
      </w:r>
    </w:p>
    <w:p w:rsidR="00281148" w:rsidRPr="00892EEE" w:rsidRDefault="00281148" w:rsidP="00B576F4">
      <w:pPr>
        <w:pStyle w:val="ListParagraph"/>
        <w:numPr>
          <w:ilvl w:val="0"/>
          <w:numId w:val="3"/>
        </w:numPr>
        <w:rPr>
          <w:rFonts w:ascii="Times" w:hAnsi="Times"/>
        </w:rPr>
      </w:pPr>
      <w:r w:rsidRPr="00892EEE">
        <w:rPr>
          <w:rFonts w:ascii="Times" w:hAnsi="Times"/>
        </w:rPr>
        <w:t xml:space="preserve">Courts have found that giving to the secretary of </w:t>
      </w:r>
      <w:r w:rsidR="0093636E">
        <w:rPr>
          <w:rFonts w:ascii="Times" w:hAnsi="Times"/>
        </w:rPr>
        <w:t xml:space="preserve">officer, managing or general agent </w:t>
      </w:r>
      <w:r w:rsidRPr="00892EEE">
        <w:rPr>
          <w:rFonts w:ascii="Times" w:hAnsi="Times"/>
        </w:rPr>
        <w:t xml:space="preserve">satisfies. </w:t>
      </w:r>
    </w:p>
    <w:p w:rsidR="00281148" w:rsidRPr="00892EEE" w:rsidRDefault="00281148" w:rsidP="00B576F4">
      <w:pPr>
        <w:pStyle w:val="ListParagraph"/>
        <w:numPr>
          <w:ilvl w:val="0"/>
          <w:numId w:val="3"/>
        </w:numPr>
        <w:rPr>
          <w:rFonts w:ascii="Times" w:hAnsi="Times"/>
        </w:rPr>
      </w:pPr>
      <w:r w:rsidRPr="00892EEE">
        <w:rPr>
          <w:rFonts w:ascii="Times" w:hAnsi="Times"/>
        </w:rPr>
        <w:t>How far will the notion of delivering extend?</w:t>
      </w:r>
    </w:p>
    <w:p w:rsidR="00281148" w:rsidRPr="00892EEE" w:rsidRDefault="00281148" w:rsidP="00B576F4">
      <w:pPr>
        <w:pStyle w:val="ListParagraph"/>
        <w:numPr>
          <w:ilvl w:val="1"/>
          <w:numId w:val="3"/>
        </w:numPr>
        <w:rPr>
          <w:rFonts w:ascii="Times" w:hAnsi="Times"/>
        </w:rPr>
      </w:pPr>
      <w:r w:rsidRPr="00892EEE">
        <w:rPr>
          <w:rFonts w:ascii="Times" w:hAnsi="Times"/>
        </w:rPr>
        <w:t>Mailing</w:t>
      </w:r>
      <w:r w:rsidR="0093636E">
        <w:rPr>
          <w:rFonts w:ascii="Times" w:hAnsi="Times"/>
        </w:rPr>
        <w:t xml:space="preserve"> to officer</w:t>
      </w:r>
      <w:r w:rsidRPr="00892EEE">
        <w:rPr>
          <w:rFonts w:ascii="Times" w:hAnsi="Times"/>
        </w:rPr>
        <w:t>?</w:t>
      </w:r>
    </w:p>
    <w:p w:rsidR="00281148" w:rsidRPr="00892EEE" w:rsidRDefault="00281148" w:rsidP="00B576F4">
      <w:pPr>
        <w:pStyle w:val="ListParagraph"/>
        <w:numPr>
          <w:ilvl w:val="2"/>
          <w:numId w:val="3"/>
        </w:numPr>
        <w:rPr>
          <w:rFonts w:ascii="Times" w:hAnsi="Times"/>
        </w:rPr>
      </w:pPr>
      <w:r w:rsidRPr="00892EEE">
        <w:rPr>
          <w:rFonts w:ascii="Times" w:hAnsi="Times"/>
        </w:rPr>
        <w:t>No – courts have held not</w:t>
      </w:r>
    </w:p>
    <w:p w:rsidR="00281148" w:rsidRPr="00892EEE" w:rsidRDefault="00281148" w:rsidP="00B576F4">
      <w:pPr>
        <w:pStyle w:val="ListParagraph"/>
        <w:numPr>
          <w:ilvl w:val="1"/>
          <w:numId w:val="3"/>
        </w:numPr>
        <w:rPr>
          <w:rFonts w:ascii="Times" w:hAnsi="Times"/>
        </w:rPr>
      </w:pPr>
      <w:r w:rsidRPr="00892EEE">
        <w:rPr>
          <w:rFonts w:ascii="Times" w:hAnsi="Times"/>
        </w:rPr>
        <w:t>If mailing counted as delivering, why be so “sniffy” about who can serve?</w:t>
      </w:r>
    </w:p>
    <w:p w:rsidR="00281148" w:rsidRPr="00892EEE" w:rsidRDefault="00281148" w:rsidP="00B576F4">
      <w:pPr>
        <w:pStyle w:val="ListParagraph"/>
        <w:numPr>
          <w:ilvl w:val="2"/>
          <w:numId w:val="3"/>
        </w:numPr>
        <w:rPr>
          <w:rFonts w:ascii="Times" w:hAnsi="Times"/>
        </w:rPr>
      </w:pPr>
      <w:r w:rsidRPr="00892EEE">
        <w:rPr>
          <w:rFonts w:ascii="Times" w:hAnsi="Times"/>
        </w:rPr>
        <w:t xml:space="preserve">If you can merely mail it, what is the point of concerning yourself with “who” can serve, </w:t>
      </w:r>
      <w:proofErr w:type="spellStart"/>
      <w:r w:rsidRPr="00892EEE">
        <w:rPr>
          <w:rFonts w:ascii="Times" w:hAnsi="Times"/>
        </w:rPr>
        <w:t>eg</w:t>
      </w:r>
      <w:proofErr w:type="spellEnd"/>
      <w:r w:rsidRPr="00892EEE">
        <w:rPr>
          <w:rFonts w:ascii="Times" w:hAnsi="Times"/>
        </w:rPr>
        <w:t xml:space="preserve"> by saying that a party cannot serve</w:t>
      </w:r>
    </w:p>
    <w:p w:rsidR="00281148" w:rsidRPr="00892EEE" w:rsidRDefault="00281148" w:rsidP="00B576F4">
      <w:pPr>
        <w:pStyle w:val="ListParagraph"/>
        <w:numPr>
          <w:ilvl w:val="2"/>
          <w:numId w:val="3"/>
        </w:numPr>
        <w:rPr>
          <w:rFonts w:ascii="Times" w:hAnsi="Times"/>
        </w:rPr>
      </w:pPr>
      <w:r w:rsidRPr="00892EEE">
        <w:rPr>
          <w:rFonts w:ascii="Times" w:hAnsi="Times"/>
        </w:rPr>
        <w:t>Could you say that the mailman is the deliverer</w:t>
      </w:r>
      <w:r w:rsidR="0093636E">
        <w:rPr>
          <w:rFonts w:ascii="Times" w:hAnsi="Times"/>
        </w:rPr>
        <w:t>?</w:t>
      </w:r>
    </w:p>
    <w:p w:rsidR="00281148" w:rsidRPr="00892EEE" w:rsidRDefault="00281148" w:rsidP="00B576F4">
      <w:pPr>
        <w:pStyle w:val="ListParagraph"/>
        <w:numPr>
          <w:ilvl w:val="2"/>
          <w:numId w:val="3"/>
        </w:numPr>
        <w:rPr>
          <w:rFonts w:ascii="Times" w:hAnsi="Times"/>
        </w:rPr>
      </w:pPr>
      <w:r w:rsidRPr="00892EEE">
        <w:rPr>
          <w:rFonts w:ascii="Times" w:hAnsi="Times"/>
        </w:rPr>
        <w:t>No - a mailman would not file affidavit that is proof of service</w:t>
      </w:r>
    </w:p>
    <w:p w:rsidR="00281148" w:rsidRPr="00892EEE" w:rsidRDefault="00281148" w:rsidP="00B576F4">
      <w:pPr>
        <w:pStyle w:val="ListParagraph"/>
        <w:numPr>
          <w:ilvl w:val="2"/>
          <w:numId w:val="3"/>
        </w:numPr>
        <w:rPr>
          <w:rFonts w:ascii="Times" w:hAnsi="Times"/>
        </w:rPr>
      </w:pPr>
      <w:r w:rsidRPr="00892EEE">
        <w:rPr>
          <w:rFonts w:ascii="Times" w:hAnsi="Times"/>
        </w:rPr>
        <w:t xml:space="preserve">In addition, mailing seems insufficient to provide level of notice to the defendant required under </w:t>
      </w:r>
      <w:r w:rsidR="0093636E">
        <w:rPr>
          <w:rFonts w:ascii="Times" w:hAnsi="Times"/>
        </w:rPr>
        <w:t xml:space="preserve">R. </w:t>
      </w:r>
      <w:r w:rsidRPr="00892EEE">
        <w:rPr>
          <w:rFonts w:ascii="Times" w:hAnsi="Times"/>
        </w:rPr>
        <w:t>4</w:t>
      </w:r>
    </w:p>
    <w:p w:rsidR="00281148" w:rsidRPr="00892EEE" w:rsidRDefault="00281148" w:rsidP="00B576F4">
      <w:pPr>
        <w:pStyle w:val="ListParagraph"/>
        <w:numPr>
          <w:ilvl w:val="1"/>
          <w:numId w:val="3"/>
        </w:numPr>
        <w:rPr>
          <w:rFonts w:ascii="Times" w:hAnsi="Times"/>
        </w:rPr>
      </w:pPr>
      <w:r w:rsidRPr="00892EEE">
        <w:rPr>
          <w:rFonts w:ascii="Times" w:hAnsi="Times"/>
        </w:rPr>
        <w:t>What if you fail to adequately serve?</w:t>
      </w:r>
    </w:p>
    <w:p w:rsidR="00281148" w:rsidRPr="00892EEE" w:rsidRDefault="00281148" w:rsidP="00B576F4">
      <w:pPr>
        <w:pStyle w:val="ListParagraph"/>
        <w:numPr>
          <w:ilvl w:val="2"/>
          <w:numId w:val="3"/>
        </w:numPr>
        <w:rPr>
          <w:rFonts w:ascii="Times" w:hAnsi="Times"/>
        </w:rPr>
      </w:pPr>
      <w:r w:rsidRPr="00892EEE">
        <w:rPr>
          <w:rFonts w:ascii="Times" w:hAnsi="Times"/>
        </w:rPr>
        <w:t>Defendant will make a motion to dismiss. If you are beyond the statute of limitations, the newly filed suit will be barred.</w:t>
      </w:r>
    </w:p>
    <w:p w:rsidR="00281148" w:rsidRPr="00892EEE" w:rsidRDefault="00281148" w:rsidP="00B576F4">
      <w:pPr>
        <w:rPr>
          <w:rFonts w:ascii="Times" w:hAnsi="Times"/>
        </w:rPr>
      </w:pPr>
    </w:p>
    <w:p w:rsidR="00281148" w:rsidRPr="00892EEE" w:rsidRDefault="00281148" w:rsidP="00B576F4">
      <w:pPr>
        <w:rPr>
          <w:rFonts w:ascii="Times" w:hAnsi="Times"/>
        </w:rPr>
      </w:pPr>
      <w:r w:rsidRPr="00892EEE">
        <w:rPr>
          <w:rFonts w:ascii="Times" w:hAnsi="Times"/>
        </w:rPr>
        <w:t>Federal Subject Matter jurisdiction</w:t>
      </w:r>
    </w:p>
    <w:p w:rsidR="00281148" w:rsidRPr="00892EEE" w:rsidRDefault="00281148" w:rsidP="00B576F4">
      <w:pPr>
        <w:pStyle w:val="ListParagraph"/>
        <w:numPr>
          <w:ilvl w:val="0"/>
          <w:numId w:val="4"/>
        </w:numPr>
        <w:rPr>
          <w:rFonts w:ascii="Times" w:hAnsi="Times"/>
        </w:rPr>
      </w:pPr>
      <w:r w:rsidRPr="00892EEE">
        <w:rPr>
          <w:rFonts w:ascii="Times" w:hAnsi="Times"/>
        </w:rPr>
        <w:t xml:space="preserve"> “Arising under”</w:t>
      </w:r>
    </w:p>
    <w:p w:rsidR="00281148" w:rsidRPr="00892EEE" w:rsidRDefault="00281148" w:rsidP="00B576F4">
      <w:pPr>
        <w:pStyle w:val="ListParagraph"/>
        <w:numPr>
          <w:ilvl w:val="1"/>
          <w:numId w:val="4"/>
        </w:numPr>
        <w:rPr>
          <w:rFonts w:ascii="Times" w:hAnsi="Times"/>
        </w:rPr>
      </w:pPr>
      <w:r w:rsidRPr="00892EEE">
        <w:rPr>
          <w:rFonts w:ascii="Times" w:hAnsi="Times"/>
        </w:rPr>
        <w:t xml:space="preserve">States were considered to be independent countries prior to the drafting of the constitution. </w:t>
      </w:r>
    </w:p>
    <w:p w:rsidR="00281148" w:rsidRPr="00892EEE" w:rsidRDefault="00281148" w:rsidP="00B576F4">
      <w:pPr>
        <w:pStyle w:val="ListParagraph"/>
        <w:numPr>
          <w:ilvl w:val="2"/>
          <w:numId w:val="4"/>
        </w:numPr>
        <w:rPr>
          <w:rFonts w:ascii="Times" w:hAnsi="Times"/>
        </w:rPr>
      </w:pPr>
      <w:r w:rsidRPr="00892EEE">
        <w:rPr>
          <w:rFonts w:ascii="Times" w:hAnsi="Times"/>
        </w:rPr>
        <w:t>They gave only some of their powers to the federal government</w:t>
      </w:r>
    </w:p>
    <w:p w:rsidR="00281148" w:rsidRPr="00892EEE" w:rsidRDefault="00281148" w:rsidP="00B576F4">
      <w:pPr>
        <w:pStyle w:val="ListParagraph"/>
        <w:numPr>
          <w:ilvl w:val="2"/>
          <w:numId w:val="4"/>
        </w:numPr>
        <w:rPr>
          <w:rFonts w:ascii="Times" w:hAnsi="Times"/>
        </w:rPr>
      </w:pPr>
      <w:r w:rsidRPr="00892EEE">
        <w:rPr>
          <w:rFonts w:ascii="Times" w:hAnsi="Times"/>
        </w:rPr>
        <w:t xml:space="preserve">True of not merely of legislative powers but also of adjudicative powers. </w:t>
      </w:r>
    </w:p>
    <w:p w:rsidR="00281148" w:rsidRPr="00892EEE" w:rsidRDefault="00281148" w:rsidP="00B576F4">
      <w:pPr>
        <w:pStyle w:val="ListParagraph"/>
        <w:numPr>
          <w:ilvl w:val="2"/>
          <w:numId w:val="4"/>
        </w:numPr>
        <w:rPr>
          <w:rFonts w:ascii="Times" w:hAnsi="Times"/>
        </w:rPr>
      </w:pPr>
      <w:r w:rsidRPr="00892EEE">
        <w:rPr>
          <w:rFonts w:ascii="Times" w:hAnsi="Times"/>
        </w:rPr>
        <w:t>They granted only som</w:t>
      </w:r>
      <w:r w:rsidR="0093636E">
        <w:rPr>
          <w:rFonts w:ascii="Times" w:hAnsi="Times"/>
        </w:rPr>
        <w:t>e judicial powers to federal courts</w:t>
      </w:r>
      <w:r w:rsidRPr="00892EEE">
        <w:rPr>
          <w:rFonts w:ascii="Times" w:hAnsi="Times"/>
        </w:rPr>
        <w:t xml:space="preserve">. </w:t>
      </w:r>
    </w:p>
    <w:p w:rsidR="00281148" w:rsidRPr="00892EEE" w:rsidRDefault="00281148" w:rsidP="00B576F4">
      <w:pPr>
        <w:pStyle w:val="ListParagraph"/>
        <w:numPr>
          <w:ilvl w:val="1"/>
          <w:numId w:val="4"/>
        </w:numPr>
        <w:rPr>
          <w:rFonts w:ascii="Times" w:hAnsi="Times"/>
        </w:rPr>
      </w:pPr>
      <w:r w:rsidRPr="00892EEE">
        <w:rPr>
          <w:rFonts w:ascii="Times" w:hAnsi="Times"/>
        </w:rPr>
        <w:t xml:space="preserve">SCOTUS is required to exist </w:t>
      </w:r>
      <w:r w:rsidR="0093636E">
        <w:rPr>
          <w:rFonts w:ascii="Times" w:hAnsi="Times"/>
        </w:rPr>
        <w:t>by the C</w:t>
      </w:r>
      <w:r w:rsidRPr="00892EEE">
        <w:rPr>
          <w:rFonts w:ascii="Times" w:hAnsi="Times"/>
        </w:rPr>
        <w:t>onstitution</w:t>
      </w:r>
    </w:p>
    <w:p w:rsidR="00281148" w:rsidRPr="0093636E" w:rsidRDefault="00281148" w:rsidP="0093636E">
      <w:pPr>
        <w:pStyle w:val="ListParagraph"/>
        <w:numPr>
          <w:ilvl w:val="2"/>
          <w:numId w:val="4"/>
        </w:numPr>
        <w:rPr>
          <w:rFonts w:ascii="Times" w:hAnsi="Times"/>
        </w:rPr>
      </w:pPr>
      <w:r w:rsidRPr="00892EEE">
        <w:rPr>
          <w:rFonts w:ascii="Times" w:hAnsi="Times"/>
        </w:rPr>
        <w:t>Lower federal courts are not required to exist</w:t>
      </w:r>
      <w:r w:rsidR="0093636E">
        <w:rPr>
          <w:rFonts w:ascii="Times" w:hAnsi="Times"/>
        </w:rPr>
        <w:t xml:space="preserve">, although </w:t>
      </w:r>
      <w:r w:rsidRPr="0093636E">
        <w:rPr>
          <w:rFonts w:ascii="Times" w:hAnsi="Times"/>
        </w:rPr>
        <w:t xml:space="preserve">states gave Congress power to create lower federal courts </w:t>
      </w:r>
    </w:p>
    <w:p w:rsidR="00281148" w:rsidRPr="00892EEE" w:rsidRDefault="00281148" w:rsidP="00B576F4">
      <w:pPr>
        <w:pStyle w:val="ListParagraph"/>
        <w:numPr>
          <w:ilvl w:val="2"/>
          <w:numId w:val="4"/>
        </w:numPr>
        <w:rPr>
          <w:rFonts w:ascii="Times" w:hAnsi="Times"/>
        </w:rPr>
      </w:pPr>
      <w:r w:rsidRPr="00892EEE">
        <w:rPr>
          <w:rFonts w:ascii="Times" w:hAnsi="Times"/>
        </w:rPr>
        <w:t>But states were nervous about the existence of federal courts, so they limited the types of cases they can take in Article III</w:t>
      </w:r>
    </w:p>
    <w:p w:rsidR="00281148" w:rsidRPr="00892EEE" w:rsidRDefault="00281148" w:rsidP="00B576F4">
      <w:pPr>
        <w:pStyle w:val="ListParagraph"/>
        <w:numPr>
          <w:ilvl w:val="2"/>
          <w:numId w:val="4"/>
        </w:numPr>
        <w:rPr>
          <w:rFonts w:ascii="Times" w:hAnsi="Times"/>
        </w:rPr>
      </w:pPr>
      <w:r w:rsidRPr="00892EEE">
        <w:rPr>
          <w:rFonts w:ascii="Times" w:hAnsi="Times"/>
        </w:rPr>
        <w:t>E.g. “T</w:t>
      </w:r>
      <w:r w:rsidRPr="00C87327">
        <w:rPr>
          <w:rFonts w:ascii="Times" w:hAnsi="Times"/>
        </w:rPr>
        <w:t>he judicial power shall extend to all cases, in law and equity, arising under this Constitution, the laws of the United States, and treaties made, or which shall be made,”</w:t>
      </w:r>
    </w:p>
    <w:p w:rsidR="00281148" w:rsidRPr="00892EEE" w:rsidRDefault="00281148" w:rsidP="00B576F4">
      <w:pPr>
        <w:pStyle w:val="ListParagraph"/>
        <w:numPr>
          <w:ilvl w:val="1"/>
          <w:numId w:val="4"/>
        </w:numPr>
        <w:rPr>
          <w:rFonts w:ascii="Times" w:hAnsi="Times"/>
        </w:rPr>
      </w:pPr>
      <w:r w:rsidRPr="00892EEE">
        <w:rPr>
          <w:rFonts w:ascii="Times" w:hAnsi="Times"/>
        </w:rPr>
        <w:t xml:space="preserve">One question is: how far does “arising under” in Article III extend – how many cases </w:t>
      </w:r>
      <w:r w:rsidRPr="00C87327">
        <w:rPr>
          <w:rFonts w:ascii="Times" w:hAnsi="Times"/>
          <w:i/>
        </w:rPr>
        <w:t>can</w:t>
      </w:r>
      <w:r w:rsidRPr="00892EEE">
        <w:rPr>
          <w:rFonts w:ascii="Times" w:hAnsi="Times"/>
        </w:rPr>
        <w:t xml:space="preserve"> Congress send to federal court under this provision? </w:t>
      </w:r>
    </w:p>
    <w:p w:rsidR="00281148" w:rsidRPr="00892EEE" w:rsidRDefault="00281148" w:rsidP="00B576F4">
      <w:pPr>
        <w:pStyle w:val="ListParagraph"/>
        <w:numPr>
          <w:ilvl w:val="1"/>
          <w:numId w:val="4"/>
        </w:numPr>
        <w:rPr>
          <w:rFonts w:ascii="Times" w:hAnsi="Times"/>
        </w:rPr>
      </w:pPr>
      <w:r w:rsidRPr="00892EEE">
        <w:rPr>
          <w:rFonts w:ascii="Times" w:hAnsi="Times"/>
        </w:rPr>
        <w:t>Another question: Congress has decided to send certain cases to feder</w:t>
      </w:r>
      <w:r w:rsidR="000F39F4">
        <w:rPr>
          <w:rFonts w:ascii="Times" w:hAnsi="Times"/>
        </w:rPr>
        <w:t>al court in 28 USC 1331</w:t>
      </w:r>
      <w:r w:rsidRPr="00892EEE">
        <w:rPr>
          <w:rFonts w:ascii="Times" w:hAnsi="Times"/>
        </w:rPr>
        <w:t xml:space="preserve"> – the federal question statute. This provision was first enacted in 1875.  What type of cases </w:t>
      </w:r>
      <w:r w:rsidRPr="00C87327">
        <w:rPr>
          <w:rFonts w:ascii="Times" w:hAnsi="Times"/>
          <w:i/>
        </w:rPr>
        <w:t>did</w:t>
      </w:r>
      <w:r w:rsidRPr="00892EEE">
        <w:rPr>
          <w:rFonts w:ascii="Times" w:hAnsi="Times"/>
        </w:rPr>
        <w:t xml:space="preserve"> Congress </w:t>
      </w:r>
      <w:r w:rsidR="000F39F4">
        <w:rPr>
          <w:rFonts w:ascii="Times" w:hAnsi="Times"/>
        </w:rPr>
        <w:t xml:space="preserve">decide to send to federal court in </w:t>
      </w:r>
      <w:proofErr w:type="gramStart"/>
      <w:r w:rsidR="000F39F4">
        <w:rPr>
          <w:rFonts w:ascii="Times" w:hAnsi="Times"/>
        </w:rPr>
        <w:t>1331.</w:t>
      </w:r>
      <w:proofErr w:type="gramEnd"/>
    </w:p>
    <w:p w:rsidR="00281148" w:rsidRPr="00892EEE" w:rsidRDefault="000F39F4" w:rsidP="00B576F4">
      <w:pPr>
        <w:pStyle w:val="ListParagraph"/>
        <w:numPr>
          <w:ilvl w:val="1"/>
          <w:numId w:val="4"/>
        </w:numPr>
        <w:rPr>
          <w:rFonts w:ascii="Times" w:hAnsi="Times"/>
        </w:rPr>
      </w:pPr>
      <w:r>
        <w:rPr>
          <w:rFonts w:ascii="Times" w:hAnsi="Times"/>
        </w:rPr>
        <w:t xml:space="preserve">The language of 1331 </w:t>
      </w:r>
      <w:r w:rsidR="00281148" w:rsidRPr="00892EEE">
        <w:rPr>
          <w:rFonts w:ascii="Times" w:hAnsi="Times"/>
        </w:rPr>
        <w:t>follo</w:t>
      </w:r>
      <w:r>
        <w:rPr>
          <w:rFonts w:ascii="Times" w:hAnsi="Times"/>
        </w:rPr>
        <w:t>ws exactly the language of the C</w:t>
      </w:r>
      <w:r w:rsidR="00281148" w:rsidRPr="00892EEE">
        <w:rPr>
          <w:rFonts w:ascii="Times" w:hAnsi="Times"/>
        </w:rPr>
        <w:t xml:space="preserve">onstitution. </w:t>
      </w:r>
    </w:p>
    <w:p w:rsidR="00281148" w:rsidRPr="00892EEE" w:rsidRDefault="00281148" w:rsidP="00B576F4">
      <w:pPr>
        <w:pStyle w:val="ListParagraph"/>
        <w:numPr>
          <w:ilvl w:val="2"/>
          <w:numId w:val="4"/>
        </w:numPr>
        <w:rPr>
          <w:rFonts w:ascii="Times" w:hAnsi="Times"/>
        </w:rPr>
      </w:pPr>
      <w:r w:rsidRPr="00892EEE">
        <w:rPr>
          <w:rFonts w:ascii="Times" w:hAnsi="Times"/>
        </w:rPr>
        <w:lastRenderedPageBreak/>
        <w:t xml:space="preserve">But SCOTUS has interpreted the law more narrowly than the Constitution </w:t>
      </w:r>
    </w:p>
    <w:p w:rsidR="00281148" w:rsidRPr="00892EEE" w:rsidRDefault="00281148" w:rsidP="00B576F4">
      <w:pPr>
        <w:rPr>
          <w:rFonts w:ascii="Times" w:hAnsi="Times"/>
        </w:rPr>
      </w:pPr>
    </w:p>
    <w:p w:rsidR="00281148" w:rsidRPr="00892EEE" w:rsidRDefault="00281148" w:rsidP="00B576F4">
      <w:pPr>
        <w:rPr>
          <w:rFonts w:ascii="Times" w:hAnsi="Times"/>
        </w:rPr>
      </w:pPr>
      <w:proofErr w:type="spellStart"/>
      <w:r w:rsidRPr="00892EEE">
        <w:rPr>
          <w:rFonts w:ascii="Times" w:hAnsi="Times"/>
        </w:rPr>
        <w:t>Mot</w:t>
      </w:r>
      <w:r w:rsidR="000F39F4">
        <w:rPr>
          <w:rFonts w:ascii="Times" w:hAnsi="Times"/>
        </w:rPr>
        <w:t>t</w:t>
      </w:r>
      <w:r w:rsidRPr="00892EEE">
        <w:rPr>
          <w:rFonts w:ascii="Times" w:hAnsi="Times"/>
        </w:rPr>
        <w:t>ley</w:t>
      </w:r>
      <w:proofErr w:type="spellEnd"/>
    </w:p>
    <w:p w:rsidR="00281148" w:rsidRPr="00892EEE" w:rsidRDefault="00281148" w:rsidP="00B576F4">
      <w:pPr>
        <w:pStyle w:val="ListParagraph"/>
        <w:numPr>
          <w:ilvl w:val="0"/>
          <w:numId w:val="5"/>
        </w:numPr>
        <w:rPr>
          <w:rFonts w:ascii="Times" w:hAnsi="Times"/>
        </w:rPr>
      </w:pPr>
      <w:r w:rsidRPr="00892EEE">
        <w:rPr>
          <w:rFonts w:ascii="Times" w:hAnsi="Times"/>
        </w:rPr>
        <w:t xml:space="preserve">Facts: Contract was made between </w:t>
      </w:r>
      <w:proofErr w:type="spellStart"/>
      <w:r w:rsidRPr="00892EEE">
        <w:rPr>
          <w:rFonts w:ascii="Times" w:hAnsi="Times"/>
        </w:rPr>
        <w:t>Mot</w:t>
      </w:r>
      <w:r w:rsidR="000F39F4">
        <w:rPr>
          <w:rFonts w:ascii="Times" w:hAnsi="Times"/>
        </w:rPr>
        <w:t>t</w:t>
      </w:r>
      <w:r w:rsidRPr="00892EEE">
        <w:rPr>
          <w:rFonts w:ascii="Times" w:hAnsi="Times"/>
        </w:rPr>
        <w:t>leys</w:t>
      </w:r>
      <w:proofErr w:type="spellEnd"/>
      <w:r w:rsidRPr="00892EEE">
        <w:rPr>
          <w:rFonts w:ascii="Times" w:hAnsi="Times"/>
        </w:rPr>
        <w:t xml:space="preserve"> and a train company for lifetime free service. A congressional act makes it illegal to provide</w:t>
      </w:r>
      <w:r w:rsidR="000F39F4">
        <w:rPr>
          <w:rFonts w:ascii="Times" w:hAnsi="Times"/>
        </w:rPr>
        <w:t xml:space="preserve"> free transportation, so defendants refuse to provide passes. Plaintiff</w:t>
      </w:r>
      <w:r w:rsidRPr="00892EEE">
        <w:rPr>
          <w:rFonts w:ascii="Times" w:hAnsi="Times"/>
        </w:rPr>
        <w:t xml:space="preserve">s </w:t>
      </w:r>
      <w:r w:rsidR="000F39F4">
        <w:rPr>
          <w:rFonts w:ascii="Times" w:hAnsi="Times"/>
        </w:rPr>
        <w:t xml:space="preserve">sue for passes, arguing </w:t>
      </w:r>
      <w:r w:rsidRPr="00892EEE">
        <w:rPr>
          <w:rFonts w:ascii="Times" w:hAnsi="Times"/>
        </w:rPr>
        <w:t>that the federal statute does not apply and that if it does apply, their constitutional rights have been violated. They bring the case in federal court. They win in trial court and the case eventually reaches SCOTUS, which dismisses for lack of subject matter jurisdiction under 1331</w:t>
      </w:r>
    </w:p>
    <w:p w:rsidR="00281148" w:rsidRPr="00892EEE" w:rsidRDefault="00281148" w:rsidP="00276775">
      <w:pPr>
        <w:pStyle w:val="ListParagraph"/>
        <w:numPr>
          <w:ilvl w:val="1"/>
          <w:numId w:val="5"/>
        </w:numPr>
        <w:rPr>
          <w:rFonts w:ascii="Times" w:hAnsi="Times"/>
        </w:rPr>
      </w:pPr>
      <w:r w:rsidRPr="00892EEE">
        <w:rPr>
          <w:rFonts w:ascii="Times" w:hAnsi="Times"/>
        </w:rPr>
        <w:t>Why?</w:t>
      </w:r>
    </w:p>
    <w:p w:rsidR="00281148" w:rsidRPr="00892EEE" w:rsidRDefault="00281148" w:rsidP="00276775">
      <w:pPr>
        <w:pStyle w:val="ListParagraph"/>
        <w:numPr>
          <w:ilvl w:val="2"/>
          <w:numId w:val="5"/>
        </w:numPr>
        <w:rPr>
          <w:rFonts w:ascii="Times" w:hAnsi="Times"/>
        </w:rPr>
      </w:pPr>
      <w:r w:rsidRPr="00892EEE">
        <w:rPr>
          <w:rFonts w:ascii="Times" w:hAnsi="Times"/>
        </w:rPr>
        <w:t>The plaintiffs’ cause of action under state law - for breach of contract.</w:t>
      </w:r>
    </w:p>
    <w:p w:rsidR="00281148" w:rsidRPr="00892EEE" w:rsidRDefault="00281148" w:rsidP="00276775">
      <w:pPr>
        <w:pStyle w:val="ListParagraph"/>
        <w:numPr>
          <w:ilvl w:val="1"/>
          <w:numId w:val="5"/>
        </w:numPr>
        <w:rPr>
          <w:rFonts w:ascii="Times" w:hAnsi="Times"/>
        </w:rPr>
      </w:pPr>
      <w:r w:rsidRPr="00892EEE">
        <w:rPr>
          <w:rFonts w:ascii="Times" w:hAnsi="Times"/>
        </w:rPr>
        <w:t>Federal issues were relevant only as defenses</w:t>
      </w:r>
    </w:p>
    <w:p w:rsidR="00281148" w:rsidRPr="00892EEE" w:rsidRDefault="00281148" w:rsidP="00276775">
      <w:pPr>
        <w:pStyle w:val="ListParagraph"/>
        <w:numPr>
          <w:ilvl w:val="2"/>
          <w:numId w:val="5"/>
        </w:numPr>
        <w:rPr>
          <w:rFonts w:ascii="Times" w:hAnsi="Times"/>
        </w:rPr>
      </w:pPr>
      <w:r w:rsidRPr="00892EEE">
        <w:rPr>
          <w:rFonts w:ascii="Times" w:hAnsi="Times"/>
        </w:rPr>
        <w:t xml:space="preserve">P merely anticipated federal issues being raised by D. </w:t>
      </w:r>
    </w:p>
    <w:p w:rsidR="00281148" w:rsidRPr="00892EEE" w:rsidRDefault="00281148" w:rsidP="00276775">
      <w:pPr>
        <w:pStyle w:val="ListParagraph"/>
        <w:numPr>
          <w:ilvl w:val="1"/>
          <w:numId w:val="5"/>
        </w:numPr>
        <w:rPr>
          <w:rFonts w:ascii="Times" w:hAnsi="Times"/>
        </w:rPr>
      </w:pPr>
      <w:proofErr w:type="spellStart"/>
      <w:r w:rsidRPr="00892EEE">
        <w:rPr>
          <w:rFonts w:ascii="Times" w:hAnsi="Times"/>
        </w:rPr>
        <w:t>Mottley</w:t>
      </w:r>
      <w:proofErr w:type="spellEnd"/>
      <w:r w:rsidRPr="00892EEE">
        <w:rPr>
          <w:rFonts w:ascii="Times" w:hAnsi="Times"/>
        </w:rPr>
        <w:t xml:space="preserve"> rule: Look to the law the plaintiff needs to mention in the complaint to get the requested relief. If federal law need not be mentioned, then </w:t>
      </w:r>
      <w:r w:rsidR="000F39F4">
        <w:rPr>
          <w:rFonts w:ascii="Times" w:hAnsi="Times"/>
        </w:rPr>
        <w:t>case</w:t>
      </w:r>
      <w:r w:rsidRPr="00892EEE">
        <w:rPr>
          <w:rFonts w:ascii="Times" w:hAnsi="Times"/>
        </w:rPr>
        <w:t xml:space="preserve"> does not have federal question jurisdiction. The </w:t>
      </w:r>
      <w:proofErr w:type="spellStart"/>
      <w:r w:rsidRPr="00892EEE">
        <w:rPr>
          <w:rFonts w:ascii="Times" w:hAnsi="Times"/>
        </w:rPr>
        <w:t>Mottleys</w:t>
      </w:r>
      <w:proofErr w:type="spellEnd"/>
      <w:r w:rsidRPr="00892EEE">
        <w:rPr>
          <w:rFonts w:ascii="Times" w:hAnsi="Times"/>
        </w:rPr>
        <w:t xml:space="preserve"> only had to refer to state law in their complaint to get their relief – federal law was relevant only concerning defenses </w:t>
      </w:r>
    </w:p>
    <w:p w:rsidR="00281148" w:rsidRPr="00892EEE" w:rsidRDefault="00281148" w:rsidP="00276775">
      <w:pPr>
        <w:pStyle w:val="ListParagraph"/>
        <w:numPr>
          <w:ilvl w:val="2"/>
          <w:numId w:val="5"/>
        </w:numPr>
        <w:rPr>
          <w:rFonts w:ascii="Times" w:hAnsi="Times"/>
        </w:rPr>
      </w:pPr>
      <w:r w:rsidRPr="00892EEE">
        <w:rPr>
          <w:rFonts w:ascii="Times" w:hAnsi="Times"/>
        </w:rPr>
        <w:t>MSG: “</w:t>
      </w:r>
      <w:proofErr w:type="spellStart"/>
      <w:r w:rsidRPr="00892EEE">
        <w:rPr>
          <w:rFonts w:ascii="Times" w:hAnsi="Times"/>
        </w:rPr>
        <w:t>Mottley</w:t>
      </w:r>
      <w:proofErr w:type="spellEnd"/>
      <w:r w:rsidRPr="00892EEE">
        <w:rPr>
          <w:rFonts w:ascii="Times" w:hAnsi="Times"/>
        </w:rPr>
        <w:t xml:space="preserve"> rule is more restrictive than we might want” – after all, the real issues in the case was the federal defenses</w:t>
      </w:r>
    </w:p>
    <w:p w:rsidR="00281148" w:rsidRPr="00892EEE" w:rsidRDefault="00281148" w:rsidP="00892EEE">
      <w:pPr>
        <w:pStyle w:val="NoteLevel2"/>
        <w:numPr>
          <w:ilvl w:val="1"/>
          <w:numId w:val="5"/>
        </w:numPr>
        <w:rPr>
          <w:rFonts w:ascii="Times" w:hAnsi="Times"/>
        </w:rPr>
      </w:pPr>
      <w:r w:rsidRPr="00892EEE">
        <w:rPr>
          <w:rFonts w:ascii="Times" w:hAnsi="Times"/>
        </w:rPr>
        <w:t>Why read 1331 this way? What’s the problem with allowing a plaintiff to sue in fed court because the defendant will bring up fed defenses?</w:t>
      </w:r>
    </w:p>
    <w:p w:rsidR="00281148" w:rsidRPr="00892EEE" w:rsidRDefault="00281148" w:rsidP="00892EEE">
      <w:pPr>
        <w:pStyle w:val="NoteLevel3"/>
        <w:numPr>
          <w:ilvl w:val="2"/>
          <w:numId w:val="5"/>
        </w:numPr>
        <w:rPr>
          <w:rFonts w:ascii="Times" w:hAnsi="Times"/>
        </w:rPr>
      </w:pPr>
      <w:r w:rsidRPr="00892EEE">
        <w:rPr>
          <w:rFonts w:ascii="Times" w:hAnsi="Times"/>
        </w:rPr>
        <w:sym w:font="Symbol" w:char="F070"/>
      </w:r>
      <w:r w:rsidRPr="00892EEE">
        <w:rPr>
          <w:rFonts w:ascii="Times" w:hAnsi="Times"/>
        </w:rPr>
        <w:t xml:space="preserve"> </w:t>
      </w:r>
      <w:proofErr w:type="gramStart"/>
      <w:r w:rsidRPr="00892EEE">
        <w:rPr>
          <w:rFonts w:ascii="Times" w:hAnsi="Times"/>
        </w:rPr>
        <w:t>can</w:t>
      </w:r>
      <w:proofErr w:type="gramEnd"/>
      <w:r w:rsidRPr="00892EEE">
        <w:rPr>
          <w:rFonts w:ascii="Times" w:hAnsi="Times"/>
        </w:rPr>
        <w:t xml:space="preserve"> always get into fed court by saying that the defendant would say that the law </w:t>
      </w:r>
      <w:r w:rsidRPr="00892EEE">
        <w:rPr>
          <w:rFonts w:ascii="Times" w:hAnsi="Times"/>
        </w:rPr>
        <w:sym w:font="Symbol" w:char="F070"/>
      </w:r>
      <w:r w:rsidRPr="00892EEE">
        <w:rPr>
          <w:rFonts w:ascii="Times" w:hAnsi="Times"/>
        </w:rPr>
        <w:t xml:space="preserve"> is suing under is unconstitutional. </w:t>
      </w:r>
    </w:p>
    <w:p w:rsidR="00281148" w:rsidRPr="00892EEE" w:rsidRDefault="00281148" w:rsidP="00892EEE">
      <w:pPr>
        <w:pStyle w:val="NoteLevel3"/>
        <w:numPr>
          <w:ilvl w:val="2"/>
          <w:numId w:val="5"/>
        </w:numPr>
        <w:rPr>
          <w:rFonts w:ascii="Times" w:hAnsi="Times"/>
        </w:rPr>
      </w:pPr>
      <w:r w:rsidRPr="00892EEE">
        <w:rPr>
          <w:rFonts w:ascii="Times" w:hAnsi="Times"/>
        </w:rPr>
        <w:t>Federal courts would be flooded</w:t>
      </w:r>
    </w:p>
    <w:p w:rsidR="00281148" w:rsidRPr="00892EEE" w:rsidRDefault="00281148" w:rsidP="00276775">
      <w:pPr>
        <w:pStyle w:val="ListParagraph"/>
        <w:numPr>
          <w:ilvl w:val="1"/>
          <w:numId w:val="5"/>
        </w:numPr>
        <w:rPr>
          <w:rFonts w:ascii="Times" w:hAnsi="Times"/>
        </w:rPr>
      </w:pPr>
      <w:r w:rsidRPr="00892EEE">
        <w:rPr>
          <w:rFonts w:ascii="Times" w:hAnsi="Times"/>
        </w:rPr>
        <w:t xml:space="preserve">Why would someone want to forum shop between federal </w:t>
      </w:r>
      <w:r w:rsidR="00A95C2D">
        <w:rPr>
          <w:rFonts w:ascii="Times" w:hAnsi="Times"/>
        </w:rPr>
        <w:t>and</w:t>
      </w:r>
      <w:r w:rsidRPr="00892EEE">
        <w:rPr>
          <w:rFonts w:ascii="Times" w:hAnsi="Times"/>
        </w:rPr>
        <w:t xml:space="preserve"> state court</w:t>
      </w:r>
      <w:r w:rsidR="000F39F4">
        <w:rPr>
          <w:rFonts w:ascii="Times" w:hAnsi="Times"/>
        </w:rPr>
        <w:t>?</w:t>
      </w:r>
    </w:p>
    <w:p w:rsidR="00281148" w:rsidRPr="00892EEE" w:rsidRDefault="00281148" w:rsidP="00276775">
      <w:pPr>
        <w:pStyle w:val="ListParagraph"/>
        <w:numPr>
          <w:ilvl w:val="1"/>
          <w:numId w:val="5"/>
        </w:numPr>
        <w:rPr>
          <w:rFonts w:ascii="Times" w:hAnsi="Times"/>
        </w:rPr>
      </w:pPr>
      <w:r w:rsidRPr="00892EEE">
        <w:rPr>
          <w:rFonts w:ascii="Times" w:hAnsi="Times"/>
        </w:rPr>
        <w:t xml:space="preserve">MSG People think that which court they’re in can make a big difference to how the case turns out </w:t>
      </w:r>
      <w:r w:rsidR="00A95C2D">
        <w:rPr>
          <w:rFonts w:ascii="Times" w:hAnsi="Times"/>
        </w:rPr>
        <w:t>–</w:t>
      </w:r>
      <w:r w:rsidRPr="00892EEE">
        <w:rPr>
          <w:rFonts w:ascii="Times" w:hAnsi="Times"/>
        </w:rPr>
        <w:t xml:space="preserve"> </w:t>
      </w:r>
      <w:proofErr w:type="spellStart"/>
      <w:r w:rsidR="00A95C2D">
        <w:rPr>
          <w:rFonts w:ascii="Times" w:hAnsi="Times"/>
        </w:rPr>
        <w:t>eg</w:t>
      </w:r>
      <w:proofErr w:type="spellEnd"/>
      <w:r w:rsidR="00A95C2D">
        <w:rPr>
          <w:rFonts w:ascii="Times" w:hAnsi="Times"/>
        </w:rPr>
        <w:t xml:space="preserve"> </w:t>
      </w:r>
      <w:r w:rsidRPr="00892EEE">
        <w:rPr>
          <w:rFonts w:ascii="Times" w:hAnsi="Times"/>
        </w:rPr>
        <w:t>“federal courts tend to be more pro defendant, particularly to corporate defendants.”</w:t>
      </w:r>
    </w:p>
    <w:p w:rsidR="00281148" w:rsidRPr="00892EEE" w:rsidRDefault="00281148" w:rsidP="00276775">
      <w:pPr>
        <w:pStyle w:val="ListParagraph"/>
        <w:numPr>
          <w:ilvl w:val="2"/>
          <w:numId w:val="5"/>
        </w:numPr>
        <w:rPr>
          <w:rFonts w:ascii="Times" w:hAnsi="Times"/>
        </w:rPr>
      </w:pPr>
      <w:r w:rsidRPr="00892EEE">
        <w:rPr>
          <w:rFonts w:ascii="Times" w:hAnsi="Times"/>
        </w:rPr>
        <w:t>forum shopping</w:t>
      </w:r>
    </w:p>
    <w:p w:rsidR="00281148" w:rsidRPr="00892EEE" w:rsidRDefault="000F39F4" w:rsidP="00276775">
      <w:pPr>
        <w:pStyle w:val="ListParagraph"/>
        <w:numPr>
          <w:ilvl w:val="0"/>
          <w:numId w:val="5"/>
        </w:numPr>
        <w:rPr>
          <w:rFonts w:ascii="Times" w:hAnsi="Times"/>
        </w:rPr>
      </w:pPr>
      <w:r>
        <w:rPr>
          <w:rFonts w:ascii="Times" w:hAnsi="Times"/>
        </w:rPr>
        <w:t xml:space="preserve">28 </w:t>
      </w:r>
      <w:r w:rsidR="00281148" w:rsidRPr="00892EEE">
        <w:rPr>
          <w:rFonts w:ascii="Times" w:hAnsi="Times"/>
        </w:rPr>
        <w:t>USC 1257:</w:t>
      </w:r>
    </w:p>
    <w:p w:rsidR="00281148" w:rsidRDefault="00281148" w:rsidP="00D734AC">
      <w:pPr>
        <w:pStyle w:val="ListParagraph"/>
        <w:numPr>
          <w:ilvl w:val="1"/>
          <w:numId w:val="5"/>
        </w:numPr>
        <w:rPr>
          <w:rFonts w:ascii="Times" w:hAnsi="Times"/>
        </w:rPr>
      </w:pPr>
      <w:r w:rsidRPr="00892EEE">
        <w:rPr>
          <w:rFonts w:ascii="Times" w:hAnsi="Times"/>
        </w:rPr>
        <w:t xml:space="preserve">Allows SCOTUS to take cases that address federal issues once the case has reached the highest state court. </w:t>
      </w:r>
    </w:p>
    <w:p w:rsidR="00EE55F6" w:rsidRPr="00892EEE" w:rsidRDefault="00EE55F6" w:rsidP="00D734AC">
      <w:pPr>
        <w:pStyle w:val="ListParagraph"/>
        <w:numPr>
          <w:ilvl w:val="1"/>
          <w:numId w:val="5"/>
        </w:numPr>
        <w:rPr>
          <w:rFonts w:ascii="Times" w:hAnsi="Times"/>
        </w:rPr>
      </w:pPr>
      <w:r>
        <w:rPr>
          <w:rFonts w:ascii="Times" w:hAnsi="Times"/>
        </w:rPr>
        <w:t xml:space="preserve">After being brought again in state court, the </w:t>
      </w:r>
      <w:proofErr w:type="spellStart"/>
      <w:r>
        <w:rPr>
          <w:rFonts w:ascii="Times" w:hAnsi="Times"/>
        </w:rPr>
        <w:t>Mottley</w:t>
      </w:r>
      <w:proofErr w:type="spellEnd"/>
      <w:r>
        <w:rPr>
          <w:rFonts w:ascii="Times" w:hAnsi="Times"/>
        </w:rPr>
        <w:t xml:space="preserve"> case reached the </w:t>
      </w:r>
      <w:proofErr w:type="spellStart"/>
      <w:r>
        <w:rPr>
          <w:rFonts w:ascii="Times" w:hAnsi="Times"/>
        </w:rPr>
        <w:t>USSCt</w:t>
      </w:r>
      <w:proofErr w:type="spellEnd"/>
      <w:r>
        <w:rPr>
          <w:rFonts w:ascii="Times" w:hAnsi="Times"/>
        </w:rPr>
        <w:t xml:space="preserve"> again through this provision.</w:t>
      </w:r>
    </w:p>
    <w:p w:rsidR="00281148" w:rsidRPr="00892EEE" w:rsidRDefault="00281148" w:rsidP="00D734AC">
      <w:pPr>
        <w:pStyle w:val="ListParagraph"/>
        <w:numPr>
          <w:ilvl w:val="1"/>
          <w:numId w:val="5"/>
        </w:numPr>
        <w:rPr>
          <w:rFonts w:ascii="Times" w:hAnsi="Times"/>
        </w:rPr>
      </w:pPr>
      <w:r w:rsidRPr="00892EEE">
        <w:rPr>
          <w:rFonts w:ascii="Times" w:hAnsi="Times"/>
        </w:rPr>
        <w:t xml:space="preserve">How is that constitutional? </w:t>
      </w:r>
    </w:p>
    <w:p w:rsidR="00281148" w:rsidRPr="00892EEE" w:rsidRDefault="00281148" w:rsidP="00D734AC">
      <w:pPr>
        <w:pStyle w:val="ListParagraph"/>
        <w:numPr>
          <w:ilvl w:val="2"/>
          <w:numId w:val="5"/>
        </w:numPr>
        <w:rPr>
          <w:rFonts w:ascii="Times" w:hAnsi="Times"/>
        </w:rPr>
      </w:pPr>
      <w:r w:rsidRPr="00892EEE">
        <w:rPr>
          <w:rFonts w:ascii="Times" w:hAnsi="Times"/>
        </w:rPr>
        <w:t xml:space="preserve">The scope of “arising under” is quite broad in the US Constitution. </w:t>
      </w:r>
    </w:p>
    <w:p w:rsidR="00281148" w:rsidRPr="00892EEE" w:rsidRDefault="00281148" w:rsidP="00D734AC">
      <w:pPr>
        <w:pStyle w:val="ListParagraph"/>
        <w:numPr>
          <w:ilvl w:val="1"/>
          <w:numId w:val="5"/>
        </w:numPr>
        <w:rPr>
          <w:rFonts w:ascii="Times" w:hAnsi="Times"/>
        </w:rPr>
      </w:pPr>
      <w:r w:rsidRPr="00892EEE">
        <w:rPr>
          <w:rFonts w:ascii="Times" w:hAnsi="Times"/>
        </w:rPr>
        <w:t>Any case that has any federal issue is sub</w:t>
      </w:r>
      <w:r w:rsidR="00EE55F6">
        <w:rPr>
          <w:rFonts w:ascii="Times" w:hAnsi="Times"/>
        </w:rPr>
        <w:t>ject to “arising under” in the C</w:t>
      </w:r>
      <w:r w:rsidRPr="00892EEE">
        <w:rPr>
          <w:rFonts w:ascii="Times" w:hAnsi="Times"/>
        </w:rPr>
        <w:t>onstitution</w:t>
      </w:r>
    </w:p>
    <w:p w:rsidR="00281148" w:rsidRPr="00892EEE" w:rsidRDefault="00281148" w:rsidP="00D734AC">
      <w:pPr>
        <w:pStyle w:val="ListParagraph"/>
        <w:numPr>
          <w:ilvl w:val="2"/>
          <w:numId w:val="5"/>
        </w:numPr>
        <w:rPr>
          <w:rFonts w:ascii="Times" w:hAnsi="Times"/>
        </w:rPr>
      </w:pPr>
      <w:r w:rsidRPr="00892EEE">
        <w:rPr>
          <w:rFonts w:ascii="Times" w:hAnsi="Times"/>
        </w:rPr>
        <w:t xml:space="preserve">Hypothetically, congress COULD send any case that handles a federal issue to the federal courts. </w:t>
      </w:r>
    </w:p>
    <w:p w:rsidR="00281148" w:rsidRPr="00892EEE" w:rsidRDefault="00281148" w:rsidP="00D734AC">
      <w:pPr>
        <w:pStyle w:val="ListParagraph"/>
        <w:numPr>
          <w:ilvl w:val="3"/>
          <w:numId w:val="5"/>
        </w:numPr>
        <w:rPr>
          <w:rFonts w:ascii="Times" w:hAnsi="Times"/>
        </w:rPr>
      </w:pPr>
      <w:r w:rsidRPr="00892EEE">
        <w:rPr>
          <w:rFonts w:ascii="Times" w:hAnsi="Times"/>
        </w:rPr>
        <w:t xml:space="preserve">But they don’t want to inundate the federal courts, hence narrow definition of “arising under” in 1331. </w:t>
      </w:r>
    </w:p>
    <w:p w:rsidR="00281148" w:rsidRPr="00892EEE" w:rsidRDefault="00281148" w:rsidP="00D734AC">
      <w:pPr>
        <w:pStyle w:val="ListParagraph"/>
        <w:numPr>
          <w:ilvl w:val="2"/>
          <w:numId w:val="5"/>
        </w:numPr>
        <w:rPr>
          <w:rFonts w:ascii="Times" w:hAnsi="Times"/>
        </w:rPr>
      </w:pPr>
      <w:r w:rsidRPr="00892EEE">
        <w:rPr>
          <w:rFonts w:ascii="Times" w:hAnsi="Times"/>
        </w:rPr>
        <w:lastRenderedPageBreak/>
        <w:t xml:space="preserve">As far as the constitution is concerned, </w:t>
      </w:r>
      <w:proofErr w:type="spellStart"/>
      <w:r w:rsidRPr="00892EEE">
        <w:rPr>
          <w:rFonts w:ascii="Times" w:hAnsi="Times"/>
          <w:i/>
        </w:rPr>
        <w:t>Mottley</w:t>
      </w:r>
      <w:proofErr w:type="spellEnd"/>
      <w:r w:rsidRPr="00892EEE">
        <w:rPr>
          <w:rFonts w:ascii="Times" w:hAnsi="Times"/>
        </w:rPr>
        <w:t xml:space="preserve"> arose under the constitution</w:t>
      </w:r>
      <w:r w:rsidR="00A95C2D">
        <w:rPr>
          <w:rFonts w:ascii="Times" w:hAnsi="Times"/>
        </w:rPr>
        <w:t xml:space="preserve"> or federal law</w:t>
      </w:r>
    </w:p>
    <w:p w:rsidR="00281148" w:rsidRPr="00892EEE" w:rsidRDefault="00A95C2D" w:rsidP="0014658E">
      <w:pPr>
        <w:pStyle w:val="ListParagraph"/>
        <w:numPr>
          <w:ilvl w:val="3"/>
          <w:numId w:val="5"/>
        </w:numPr>
        <w:rPr>
          <w:rFonts w:ascii="Times" w:hAnsi="Times"/>
        </w:rPr>
      </w:pPr>
      <w:r>
        <w:rPr>
          <w:rFonts w:ascii="Times" w:hAnsi="Times"/>
        </w:rPr>
        <w:t>But it did not “arise under” as that term is used in</w:t>
      </w:r>
      <w:r w:rsidR="00281148" w:rsidRPr="00892EEE">
        <w:rPr>
          <w:rFonts w:ascii="Times" w:hAnsi="Times"/>
        </w:rPr>
        <w:t xml:space="preserve"> 1331. </w:t>
      </w:r>
    </w:p>
    <w:p w:rsidR="00281148" w:rsidRPr="00892EEE" w:rsidRDefault="00281148" w:rsidP="0014658E">
      <w:pPr>
        <w:rPr>
          <w:rFonts w:ascii="Times" w:hAnsi="Times"/>
        </w:rPr>
      </w:pPr>
    </w:p>
    <w:p w:rsidR="00281148" w:rsidRPr="00892EEE" w:rsidRDefault="00281148" w:rsidP="0014658E">
      <w:pPr>
        <w:rPr>
          <w:rFonts w:ascii="Times" w:hAnsi="Times"/>
        </w:rPr>
      </w:pPr>
      <w:r w:rsidRPr="00892EEE">
        <w:rPr>
          <w:rFonts w:ascii="Times" w:hAnsi="Times"/>
        </w:rPr>
        <w:t xml:space="preserve">Hypo(s). </w:t>
      </w:r>
    </w:p>
    <w:p w:rsidR="00281148" w:rsidRPr="00892EEE" w:rsidRDefault="00281148" w:rsidP="0014658E">
      <w:pPr>
        <w:pStyle w:val="ListParagraph"/>
        <w:numPr>
          <w:ilvl w:val="0"/>
          <w:numId w:val="6"/>
        </w:numPr>
        <w:rPr>
          <w:rFonts w:ascii="Times" w:hAnsi="Times"/>
        </w:rPr>
      </w:pPr>
      <w:r w:rsidRPr="00892EEE">
        <w:rPr>
          <w:rFonts w:ascii="Times" w:hAnsi="Times"/>
        </w:rPr>
        <w:t xml:space="preserve">P sues D to enjoin D from using a process protected by his patent. Federal question? Yes, because law that P needs to refer to in complaint to get the </w:t>
      </w:r>
      <w:r w:rsidR="00EE55F6">
        <w:rPr>
          <w:rFonts w:ascii="Times" w:hAnsi="Times"/>
        </w:rPr>
        <w:t xml:space="preserve">requested </w:t>
      </w:r>
      <w:r w:rsidRPr="00892EEE">
        <w:rPr>
          <w:rFonts w:ascii="Times" w:hAnsi="Times"/>
        </w:rPr>
        <w:t xml:space="preserve">relief is federal. </w:t>
      </w:r>
    </w:p>
    <w:p w:rsidR="00281148" w:rsidRPr="00892EEE" w:rsidRDefault="00281148" w:rsidP="0014658E">
      <w:pPr>
        <w:pStyle w:val="ListParagraph"/>
        <w:numPr>
          <w:ilvl w:val="0"/>
          <w:numId w:val="6"/>
        </w:numPr>
        <w:rPr>
          <w:rFonts w:ascii="Times" w:hAnsi="Times"/>
        </w:rPr>
      </w:pPr>
      <w:r w:rsidRPr="00892EEE">
        <w:rPr>
          <w:rFonts w:ascii="Times" w:hAnsi="Times"/>
        </w:rPr>
        <w:t>P and D sign a contract allowing D to make use of P’s patent for a fee</w:t>
      </w:r>
      <w:r w:rsidR="00EE55F6">
        <w:rPr>
          <w:rFonts w:ascii="Times" w:hAnsi="Times"/>
        </w:rPr>
        <w:t xml:space="preserve">. </w:t>
      </w:r>
      <w:r w:rsidRPr="00892EEE">
        <w:rPr>
          <w:rFonts w:ascii="Times" w:hAnsi="Times"/>
        </w:rPr>
        <w:t xml:space="preserve">D breaks contract by not paying P. P sues for breach of contract. Federal Question? No, because the claim is for breach of contract, a state matter. </w:t>
      </w:r>
    </w:p>
    <w:p w:rsidR="00281148" w:rsidRPr="00892EEE" w:rsidRDefault="00281148" w:rsidP="0014658E">
      <w:pPr>
        <w:pStyle w:val="ListParagraph"/>
        <w:numPr>
          <w:ilvl w:val="0"/>
          <w:numId w:val="6"/>
        </w:numPr>
        <w:rPr>
          <w:rFonts w:ascii="Times" w:hAnsi="Times"/>
        </w:rPr>
      </w:pPr>
      <w:r w:rsidRPr="00892EEE">
        <w:rPr>
          <w:rFonts w:ascii="Times" w:hAnsi="Times"/>
        </w:rPr>
        <w:t xml:space="preserve">I am a beneficiary of a trust and I sue the trustee because he has invested in illegal securities in violation of the trust. The securities are illegal because they are in violation of fed law. Federal question? Trust law is state law. But P needs to refer to both state and federal law to get his requested relief. Are such cases federal question under 1331? Federal court have held that such cases have subject matter jurisdiction under 1331 if the federal ingredient of the cause of action is significant. If it is not, then no federal subject matter jurisdiction under 1331. </w:t>
      </w:r>
    </w:p>
    <w:p w:rsidR="00281148" w:rsidRPr="00892EEE" w:rsidRDefault="00281148" w:rsidP="0014658E">
      <w:pPr>
        <w:pStyle w:val="ListParagraph"/>
        <w:numPr>
          <w:ilvl w:val="1"/>
          <w:numId w:val="6"/>
        </w:numPr>
        <w:rPr>
          <w:rFonts w:ascii="Times" w:hAnsi="Times"/>
        </w:rPr>
      </w:pPr>
      <w:r w:rsidRPr="00892EEE">
        <w:rPr>
          <w:rFonts w:ascii="Times" w:hAnsi="Times"/>
        </w:rPr>
        <w:t xml:space="preserve">Sometimes you need both Federal and State to show that you have a cause of action. </w:t>
      </w:r>
    </w:p>
    <w:p w:rsidR="00281148" w:rsidRPr="00892EEE" w:rsidRDefault="00281148" w:rsidP="0014658E">
      <w:pPr>
        <w:pStyle w:val="ListParagraph"/>
        <w:numPr>
          <w:ilvl w:val="0"/>
          <w:numId w:val="6"/>
        </w:numPr>
        <w:rPr>
          <w:rFonts w:ascii="Times" w:hAnsi="Times"/>
        </w:rPr>
      </w:pPr>
      <w:r w:rsidRPr="00892EEE">
        <w:rPr>
          <w:rFonts w:ascii="Times" w:hAnsi="Times"/>
        </w:rPr>
        <w:t xml:space="preserve">What if the </w:t>
      </w:r>
      <w:proofErr w:type="spellStart"/>
      <w:r w:rsidRPr="00892EEE">
        <w:rPr>
          <w:rFonts w:ascii="Times" w:hAnsi="Times"/>
        </w:rPr>
        <w:t>Mottleys</w:t>
      </w:r>
      <w:proofErr w:type="spellEnd"/>
      <w:r w:rsidRPr="00892EEE">
        <w:rPr>
          <w:rFonts w:ascii="Times" w:hAnsi="Times"/>
        </w:rPr>
        <w:t xml:space="preserve"> had brought a declaratory judgment action to determine whether the federal statute overrode their contract and if it did whether it was a taking in violation of the Fifth Amendment? MSG, “This is a possible action.” But does it have federal SMJ under 1331?</w:t>
      </w:r>
    </w:p>
    <w:p w:rsidR="00281148" w:rsidRPr="00892EEE" w:rsidRDefault="00281148" w:rsidP="00897867">
      <w:pPr>
        <w:pStyle w:val="ListParagraph"/>
        <w:numPr>
          <w:ilvl w:val="1"/>
          <w:numId w:val="6"/>
        </w:numPr>
        <w:rPr>
          <w:rFonts w:ascii="Times" w:hAnsi="Times"/>
        </w:rPr>
      </w:pPr>
      <w:r w:rsidRPr="00892EEE">
        <w:rPr>
          <w:rFonts w:ascii="Times" w:hAnsi="Times"/>
        </w:rPr>
        <w:t xml:space="preserve">Considered an end run around the </w:t>
      </w:r>
      <w:proofErr w:type="spellStart"/>
      <w:r w:rsidRPr="00892EEE">
        <w:rPr>
          <w:rFonts w:ascii="Times" w:hAnsi="Times"/>
        </w:rPr>
        <w:t>Mottley</w:t>
      </w:r>
      <w:proofErr w:type="spellEnd"/>
      <w:r w:rsidRPr="00892EEE">
        <w:rPr>
          <w:rFonts w:ascii="Times" w:hAnsi="Times"/>
        </w:rPr>
        <w:t xml:space="preserve"> rule. </w:t>
      </w:r>
      <w:r w:rsidR="00EE55F6">
        <w:rPr>
          <w:rFonts w:ascii="Times" w:hAnsi="Times"/>
        </w:rPr>
        <w:t>So federal courts have concluded that you</w:t>
      </w:r>
      <w:r w:rsidRPr="00892EEE">
        <w:rPr>
          <w:rFonts w:ascii="Times" w:hAnsi="Times"/>
        </w:rPr>
        <w:t xml:space="preserve"> can bring a declaratory judgment action in federal court under 1331 only if the action would have satisfied the </w:t>
      </w:r>
      <w:proofErr w:type="spellStart"/>
      <w:r w:rsidRPr="00892EEE">
        <w:rPr>
          <w:rFonts w:ascii="Times" w:hAnsi="Times"/>
        </w:rPr>
        <w:t>Mottley</w:t>
      </w:r>
      <w:proofErr w:type="spellEnd"/>
      <w:r w:rsidRPr="00892EEE">
        <w:rPr>
          <w:rFonts w:ascii="Times" w:hAnsi="Times"/>
        </w:rPr>
        <w:t xml:space="preserve"> rule if the plaintiff had actually requested concrete relief rather than a declaratory judgment.</w:t>
      </w:r>
    </w:p>
    <w:p w:rsidR="00281148" w:rsidRPr="00892EEE" w:rsidRDefault="00281148" w:rsidP="007B0224">
      <w:pPr>
        <w:pStyle w:val="ListParagraph"/>
        <w:numPr>
          <w:ilvl w:val="0"/>
          <w:numId w:val="6"/>
        </w:numPr>
        <w:rPr>
          <w:rFonts w:ascii="Times" w:hAnsi="Times"/>
        </w:rPr>
      </w:pPr>
      <w:r w:rsidRPr="00892EEE">
        <w:rPr>
          <w:rFonts w:ascii="Times" w:hAnsi="Times"/>
        </w:rPr>
        <w:t>P sues D in federal court under federal Securities Exchange Act, claiming that a certain financial instrument is a “security.” The federal court concludes that the instrument is not a “security” within the meaning of the Act. Court therefore dismisses the action. Failure to state a claim or lack of SMJ? Failure to state a claim</w:t>
      </w:r>
    </w:p>
    <w:p w:rsidR="00281148" w:rsidRPr="00892EEE" w:rsidRDefault="00281148" w:rsidP="007B0224">
      <w:pPr>
        <w:pStyle w:val="ListParagraph"/>
        <w:numPr>
          <w:ilvl w:val="1"/>
          <w:numId w:val="6"/>
        </w:numPr>
        <w:rPr>
          <w:rFonts w:ascii="Times" w:hAnsi="Times"/>
        </w:rPr>
      </w:pPr>
      <w:r w:rsidRPr="00892EEE">
        <w:rPr>
          <w:rFonts w:ascii="Times" w:hAnsi="Times"/>
        </w:rPr>
        <w:t xml:space="preserve">Why? </w:t>
      </w:r>
      <w:r w:rsidR="00A95C2D">
        <w:rPr>
          <w:rFonts w:ascii="Times" w:hAnsi="Times"/>
        </w:rPr>
        <w:t>Complaint</w:t>
      </w:r>
      <w:r w:rsidRPr="00892EEE">
        <w:rPr>
          <w:rFonts w:ascii="Times" w:hAnsi="Times"/>
        </w:rPr>
        <w:t xml:space="preserve"> fail to allege facts that constitute a cause of action. </w:t>
      </w:r>
    </w:p>
    <w:p w:rsidR="00281148" w:rsidRPr="00892EEE" w:rsidRDefault="00281148" w:rsidP="007B0224">
      <w:pPr>
        <w:pStyle w:val="ListParagraph"/>
        <w:numPr>
          <w:ilvl w:val="1"/>
          <w:numId w:val="6"/>
        </w:numPr>
        <w:rPr>
          <w:rFonts w:ascii="Times" w:hAnsi="Times"/>
        </w:rPr>
      </w:pPr>
      <w:r w:rsidRPr="00892EEE">
        <w:rPr>
          <w:rFonts w:ascii="Times" w:hAnsi="Times"/>
        </w:rPr>
        <w:t>MSG says, “It can make a BIG difference how the complaint was dismissed”</w:t>
      </w:r>
    </w:p>
    <w:p w:rsidR="00281148" w:rsidRPr="00892EEE" w:rsidRDefault="00281148" w:rsidP="007B0224">
      <w:pPr>
        <w:pStyle w:val="ListParagraph"/>
        <w:numPr>
          <w:ilvl w:val="1"/>
          <w:numId w:val="6"/>
        </w:numPr>
        <w:rPr>
          <w:rFonts w:ascii="Times" w:hAnsi="Times"/>
        </w:rPr>
      </w:pPr>
      <w:r w:rsidRPr="00892EEE">
        <w:rPr>
          <w:rFonts w:ascii="Times" w:hAnsi="Times"/>
        </w:rPr>
        <w:t xml:space="preserve">If it fails to state a claim, the court MUST have SMJ. </w:t>
      </w:r>
    </w:p>
    <w:p w:rsidR="00281148" w:rsidRPr="00892EEE" w:rsidRDefault="00281148" w:rsidP="00C87327">
      <w:pPr>
        <w:pStyle w:val="ListParagraph"/>
        <w:rPr>
          <w:rFonts w:ascii="Times" w:hAnsi="Times"/>
        </w:rPr>
      </w:pPr>
    </w:p>
    <w:p w:rsidR="00281148" w:rsidRPr="00892EEE" w:rsidRDefault="00281148" w:rsidP="00C87327">
      <w:pPr>
        <w:pStyle w:val="ListParagraph"/>
        <w:rPr>
          <w:rFonts w:ascii="Times" w:hAnsi="Times"/>
        </w:rPr>
      </w:pPr>
    </w:p>
    <w:p w:rsidR="00281148" w:rsidRPr="00892EEE" w:rsidRDefault="00281148" w:rsidP="007B0224">
      <w:pPr>
        <w:pStyle w:val="ListParagraph"/>
        <w:numPr>
          <w:ilvl w:val="0"/>
          <w:numId w:val="6"/>
        </w:numPr>
        <w:rPr>
          <w:rFonts w:ascii="Times" w:hAnsi="Times"/>
        </w:rPr>
      </w:pPr>
      <w:r w:rsidRPr="00892EEE">
        <w:rPr>
          <w:rFonts w:ascii="Times" w:hAnsi="Times"/>
        </w:rPr>
        <w:t xml:space="preserve">You hit me in the </w:t>
      </w:r>
      <w:r w:rsidR="00DE38FD">
        <w:rPr>
          <w:rFonts w:ascii="Times" w:hAnsi="Times"/>
        </w:rPr>
        <w:t>face</w:t>
      </w:r>
      <w:r w:rsidRPr="00892EEE">
        <w:rPr>
          <w:rFonts w:ascii="Times" w:hAnsi="Times"/>
        </w:rPr>
        <w:t xml:space="preserve"> and I bring an action against you in federal court (using federal question jurisdiction as my source of subject matter jurisdiction) for a violation of federal securities laws. How would it be dismissed? Lack of SMJ.</w:t>
      </w:r>
    </w:p>
    <w:p w:rsidR="00281148" w:rsidRPr="00892EEE" w:rsidRDefault="008725FC" w:rsidP="00B51287">
      <w:pPr>
        <w:pStyle w:val="ListParagraph"/>
        <w:numPr>
          <w:ilvl w:val="1"/>
          <w:numId w:val="6"/>
        </w:numPr>
        <w:rPr>
          <w:rFonts w:ascii="Times" w:hAnsi="Times"/>
        </w:rPr>
      </w:pPr>
      <w:r>
        <w:rPr>
          <w:rFonts w:ascii="Times" w:hAnsi="Times"/>
        </w:rPr>
        <w:t xml:space="preserve">Note: </w:t>
      </w:r>
      <w:r w:rsidR="00281148" w:rsidRPr="00892EEE">
        <w:rPr>
          <w:rFonts w:ascii="Times" w:hAnsi="Times"/>
        </w:rPr>
        <w:t xml:space="preserve">Rule 11 sanctions might apply. </w:t>
      </w:r>
    </w:p>
    <w:p w:rsidR="00281148" w:rsidRPr="00892EEE" w:rsidRDefault="00281148" w:rsidP="00B51287">
      <w:pPr>
        <w:pStyle w:val="ListParagraph"/>
        <w:numPr>
          <w:ilvl w:val="1"/>
          <w:numId w:val="6"/>
        </w:numPr>
        <w:rPr>
          <w:rFonts w:ascii="Times" w:hAnsi="Times"/>
        </w:rPr>
      </w:pPr>
      <w:r w:rsidRPr="00892EEE">
        <w:rPr>
          <w:rFonts w:ascii="Times" w:hAnsi="Times"/>
        </w:rPr>
        <w:lastRenderedPageBreak/>
        <w:t xml:space="preserve">Why does </w:t>
      </w:r>
      <w:r w:rsidR="008725FC">
        <w:rPr>
          <w:rFonts w:ascii="Times" w:hAnsi="Times"/>
        </w:rPr>
        <w:t>it</w:t>
      </w:r>
      <w:r w:rsidRPr="00892EEE">
        <w:rPr>
          <w:rFonts w:ascii="Times" w:hAnsi="Times"/>
        </w:rPr>
        <w:t xml:space="preserve"> matter</w:t>
      </w:r>
      <w:r w:rsidR="008725FC">
        <w:rPr>
          <w:rFonts w:ascii="Times" w:hAnsi="Times"/>
        </w:rPr>
        <w:t xml:space="preserve"> that the dismissal is for lack of SMJ not failure to state a claim</w:t>
      </w:r>
      <w:r w:rsidRPr="00892EEE">
        <w:rPr>
          <w:rFonts w:ascii="Times" w:hAnsi="Times"/>
        </w:rPr>
        <w:t xml:space="preserve">? </w:t>
      </w:r>
    </w:p>
    <w:p w:rsidR="00281148" w:rsidRPr="00892EEE" w:rsidRDefault="00281148" w:rsidP="00B51287">
      <w:pPr>
        <w:pStyle w:val="ListParagraph"/>
        <w:numPr>
          <w:ilvl w:val="1"/>
          <w:numId w:val="6"/>
        </w:numPr>
        <w:rPr>
          <w:rFonts w:ascii="Times" w:hAnsi="Times"/>
        </w:rPr>
      </w:pPr>
      <w:r w:rsidRPr="00892EEE">
        <w:rPr>
          <w:rFonts w:ascii="Times" w:hAnsi="Times"/>
        </w:rPr>
        <w:t>Dismissals for lack of SMJ are without prejudice, dismissal for failure to state a claim are with prejudice unless court says otherwise.</w:t>
      </w:r>
    </w:p>
    <w:p w:rsidR="00281148" w:rsidRPr="00892EEE" w:rsidRDefault="00281148" w:rsidP="00B51287">
      <w:pPr>
        <w:pStyle w:val="ListParagraph"/>
        <w:numPr>
          <w:ilvl w:val="1"/>
          <w:numId w:val="6"/>
        </w:numPr>
        <w:rPr>
          <w:rFonts w:ascii="Times" w:hAnsi="Times"/>
        </w:rPr>
      </w:pPr>
      <w:r w:rsidRPr="00892EEE">
        <w:rPr>
          <w:rFonts w:ascii="Times" w:hAnsi="Times"/>
        </w:rPr>
        <w:t>If dismissal is for failure to state a claim, any state law actions also in the federal court under supplemental jurisdiction can remain (we will discuss later)</w:t>
      </w:r>
    </w:p>
    <w:p w:rsidR="00281148" w:rsidRPr="00892EEE" w:rsidRDefault="00281148" w:rsidP="00B51287">
      <w:pPr>
        <w:pStyle w:val="ListParagraph"/>
        <w:numPr>
          <w:ilvl w:val="1"/>
          <w:numId w:val="6"/>
        </w:numPr>
        <w:rPr>
          <w:rFonts w:ascii="Times" w:hAnsi="Times"/>
        </w:rPr>
      </w:pPr>
      <w:r w:rsidRPr="00892EEE">
        <w:rPr>
          <w:rFonts w:ascii="Times" w:hAnsi="Times"/>
        </w:rPr>
        <w:t>If dismissal is for lack of SMJ, supplemental jurisdiction for state law actions cannot exist</w:t>
      </w:r>
    </w:p>
    <w:p w:rsidR="00281148" w:rsidRPr="00892EEE" w:rsidRDefault="00281148" w:rsidP="00B51287">
      <w:pPr>
        <w:pStyle w:val="ListParagraph"/>
        <w:numPr>
          <w:ilvl w:val="1"/>
          <w:numId w:val="6"/>
        </w:numPr>
        <w:rPr>
          <w:rFonts w:ascii="Times" w:hAnsi="Times"/>
        </w:rPr>
      </w:pPr>
      <w:r w:rsidRPr="00892EEE">
        <w:rPr>
          <w:rFonts w:ascii="Times" w:hAnsi="Times"/>
        </w:rPr>
        <w:t>Thus, if the dismissal was for failure to state a claim, the P would have managed to create supplemental jurisdiction for his state law actions</w:t>
      </w:r>
    </w:p>
    <w:p w:rsidR="00281148" w:rsidRPr="00892EEE" w:rsidRDefault="00DE38FD" w:rsidP="00DE38FD">
      <w:pPr>
        <w:pStyle w:val="ListParagraph"/>
        <w:numPr>
          <w:ilvl w:val="2"/>
          <w:numId w:val="6"/>
        </w:numPr>
        <w:rPr>
          <w:rFonts w:ascii="Times" w:hAnsi="Times"/>
        </w:rPr>
      </w:pPr>
      <w:r>
        <w:rPr>
          <w:rFonts w:ascii="Times" w:hAnsi="Times"/>
        </w:rPr>
        <w:t>It would therefore be too easy to create SMJ</w:t>
      </w:r>
      <w:r w:rsidR="008725FC">
        <w:rPr>
          <w:rFonts w:ascii="Times" w:hAnsi="Times"/>
        </w:rPr>
        <w:t xml:space="preserve"> for state law actions</w:t>
      </w:r>
      <w:r>
        <w:rPr>
          <w:rFonts w:ascii="Times" w:hAnsi="Times"/>
        </w:rPr>
        <w:t xml:space="preserve">. </w:t>
      </w:r>
      <w:r w:rsidR="00281148" w:rsidRPr="00892EEE">
        <w:rPr>
          <w:rFonts w:ascii="Times" w:hAnsi="Times"/>
        </w:rPr>
        <w:t>The dismissal should be for lack of SMJ, because the federal securities law action is a mere pretext to get into federal court</w:t>
      </w:r>
    </w:p>
    <w:p w:rsidR="00281148" w:rsidRPr="00892EEE" w:rsidRDefault="00281148" w:rsidP="00B51287">
      <w:pPr>
        <w:rPr>
          <w:rFonts w:ascii="Times" w:hAnsi="Times"/>
        </w:rPr>
      </w:pPr>
    </w:p>
    <w:p w:rsidR="008725FC" w:rsidRDefault="00281148" w:rsidP="00B51287">
      <w:pPr>
        <w:rPr>
          <w:rFonts w:ascii="Times" w:hAnsi="Times"/>
        </w:rPr>
      </w:pPr>
      <w:r w:rsidRPr="00892EEE">
        <w:rPr>
          <w:rFonts w:ascii="Times" w:hAnsi="Times"/>
        </w:rPr>
        <w:t xml:space="preserve">Diversity: </w:t>
      </w:r>
      <w:r w:rsidR="008725FC">
        <w:rPr>
          <w:rFonts w:ascii="Times" w:hAnsi="Times"/>
        </w:rPr>
        <w:t>Two questions:</w:t>
      </w:r>
    </w:p>
    <w:p w:rsidR="008725FC" w:rsidRDefault="00281148" w:rsidP="00B51287">
      <w:pPr>
        <w:rPr>
          <w:rFonts w:ascii="Times" w:hAnsi="Times"/>
        </w:rPr>
      </w:pPr>
      <w:r w:rsidRPr="00892EEE">
        <w:rPr>
          <w:rFonts w:ascii="Times" w:hAnsi="Times"/>
        </w:rPr>
        <w:t>1. What is the constitutional scope of Diversi</w:t>
      </w:r>
      <w:r w:rsidR="00061185">
        <w:rPr>
          <w:rFonts w:ascii="Times" w:hAnsi="Times"/>
        </w:rPr>
        <w:t xml:space="preserve">ty in Article III? </w:t>
      </w:r>
    </w:p>
    <w:p w:rsidR="00281148" w:rsidRDefault="00061185" w:rsidP="00B51287">
      <w:pPr>
        <w:rPr>
          <w:rFonts w:ascii="Times" w:hAnsi="Times"/>
        </w:rPr>
      </w:pPr>
      <w:r>
        <w:rPr>
          <w:rFonts w:ascii="Times" w:hAnsi="Times"/>
        </w:rPr>
        <w:t>2. What has C</w:t>
      </w:r>
      <w:r w:rsidR="00281148" w:rsidRPr="00892EEE">
        <w:rPr>
          <w:rFonts w:ascii="Times" w:hAnsi="Times"/>
        </w:rPr>
        <w:t>ongress allowed federal courts to handle under the diversity statute – 1332(a)?</w:t>
      </w:r>
    </w:p>
    <w:p w:rsidR="008725FC" w:rsidRPr="00892EEE" w:rsidRDefault="008725FC" w:rsidP="00B51287">
      <w:pPr>
        <w:rPr>
          <w:rFonts w:ascii="Times" w:hAnsi="Times"/>
        </w:rPr>
      </w:pPr>
    </w:p>
    <w:p w:rsidR="00281148" w:rsidRPr="00892EEE" w:rsidRDefault="00281148" w:rsidP="00B51287">
      <w:pPr>
        <w:pStyle w:val="ListParagraph"/>
        <w:numPr>
          <w:ilvl w:val="0"/>
          <w:numId w:val="7"/>
        </w:numPr>
        <w:rPr>
          <w:rFonts w:ascii="Times" w:hAnsi="Times"/>
        </w:rPr>
      </w:pPr>
      <w:r w:rsidRPr="00892EEE">
        <w:rPr>
          <w:rFonts w:ascii="Times" w:hAnsi="Times"/>
        </w:rPr>
        <w:t>Why did the founders think diversity cases were good cases to send to federal court?</w:t>
      </w:r>
    </w:p>
    <w:p w:rsidR="00281148" w:rsidRPr="00892EEE" w:rsidRDefault="00281148" w:rsidP="00B51287">
      <w:pPr>
        <w:pStyle w:val="ListParagraph"/>
        <w:numPr>
          <w:ilvl w:val="1"/>
          <w:numId w:val="7"/>
        </w:numPr>
        <w:rPr>
          <w:rFonts w:ascii="Times" w:hAnsi="Times"/>
        </w:rPr>
      </w:pPr>
      <w:r w:rsidRPr="00892EEE">
        <w:rPr>
          <w:rFonts w:ascii="Times" w:hAnsi="Times"/>
        </w:rPr>
        <w:t>Worry that state courts might be prejudiced towards citizens of another state.</w:t>
      </w:r>
    </w:p>
    <w:p w:rsidR="00281148" w:rsidRPr="00892EEE" w:rsidRDefault="00281148" w:rsidP="00B51287">
      <w:pPr>
        <w:pStyle w:val="ListParagraph"/>
        <w:numPr>
          <w:ilvl w:val="2"/>
          <w:numId w:val="7"/>
        </w:numPr>
        <w:rPr>
          <w:rFonts w:ascii="Times" w:hAnsi="Times"/>
        </w:rPr>
      </w:pPr>
      <w:r w:rsidRPr="00892EEE">
        <w:rPr>
          <w:rFonts w:ascii="Times" w:hAnsi="Times"/>
        </w:rPr>
        <w:t xml:space="preserve">Not about juries. Even in a federal case, juries will still be from that state. </w:t>
      </w:r>
    </w:p>
    <w:p w:rsidR="00281148" w:rsidRPr="00892EEE" w:rsidRDefault="00281148" w:rsidP="00B51287">
      <w:pPr>
        <w:pStyle w:val="ListParagraph"/>
        <w:numPr>
          <w:ilvl w:val="0"/>
          <w:numId w:val="7"/>
        </w:numPr>
        <w:rPr>
          <w:rFonts w:ascii="Times" w:hAnsi="Times"/>
        </w:rPr>
      </w:pPr>
      <w:r w:rsidRPr="00892EEE">
        <w:rPr>
          <w:rFonts w:ascii="Times" w:hAnsi="Times"/>
        </w:rPr>
        <w:t>Let</w:t>
      </w:r>
      <w:r w:rsidR="00061185">
        <w:rPr>
          <w:rFonts w:ascii="Times" w:hAnsi="Times"/>
        </w:rPr>
        <w:t>’</w:t>
      </w:r>
      <w:r w:rsidRPr="00892EEE">
        <w:rPr>
          <w:rFonts w:ascii="Times" w:hAnsi="Times"/>
        </w:rPr>
        <w:t xml:space="preserve">s </w:t>
      </w:r>
      <w:r w:rsidR="0016248F">
        <w:rPr>
          <w:rFonts w:ascii="Times" w:hAnsi="Times"/>
        </w:rPr>
        <w:t xml:space="preserve">first </w:t>
      </w:r>
      <w:r w:rsidRPr="00892EEE">
        <w:rPr>
          <w:rFonts w:ascii="Times" w:hAnsi="Times"/>
        </w:rPr>
        <w:t xml:space="preserve">talk about the constitutional scope of Article III (Diversity) </w:t>
      </w:r>
    </w:p>
    <w:p w:rsidR="00281148" w:rsidRPr="00892EEE" w:rsidRDefault="00281148" w:rsidP="00B51287">
      <w:pPr>
        <w:pStyle w:val="ListParagraph"/>
        <w:numPr>
          <w:ilvl w:val="2"/>
          <w:numId w:val="7"/>
        </w:numPr>
        <w:rPr>
          <w:rFonts w:ascii="Times" w:hAnsi="Times"/>
        </w:rPr>
      </w:pPr>
      <w:r w:rsidRPr="00892EEE">
        <w:rPr>
          <w:rFonts w:ascii="Times" w:hAnsi="Times"/>
        </w:rPr>
        <w:t>P (NY) sues D1 (NY) and D2 (CA) under NY state law for damages in connec</w:t>
      </w:r>
      <w:r w:rsidR="0016248F">
        <w:rPr>
          <w:rFonts w:ascii="Times" w:hAnsi="Times"/>
        </w:rPr>
        <w:t>tion with a brawl in NY. Could C</w:t>
      </w:r>
      <w:r w:rsidRPr="00892EEE">
        <w:rPr>
          <w:rFonts w:ascii="Times" w:hAnsi="Times"/>
        </w:rPr>
        <w:t>ongress create a statute allowing for federal jurisdiction for the action? YES</w:t>
      </w:r>
    </w:p>
    <w:p w:rsidR="00281148" w:rsidRPr="00892EEE" w:rsidRDefault="00281148" w:rsidP="00B51287">
      <w:pPr>
        <w:pStyle w:val="ListParagraph"/>
        <w:numPr>
          <w:ilvl w:val="2"/>
          <w:numId w:val="7"/>
        </w:numPr>
        <w:rPr>
          <w:rFonts w:ascii="Times" w:hAnsi="Times"/>
        </w:rPr>
      </w:pPr>
      <w:r w:rsidRPr="00892EEE">
        <w:rPr>
          <w:rFonts w:ascii="Times" w:hAnsi="Times"/>
        </w:rPr>
        <w:t>Why? – the case has minimal diversity:</w:t>
      </w:r>
    </w:p>
    <w:p w:rsidR="00281148" w:rsidRPr="00892EEE" w:rsidRDefault="00281148" w:rsidP="00B51287">
      <w:pPr>
        <w:pStyle w:val="ListParagraph"/>
        <w:numPr>
          <w:ilvl w:val="2"/>
          <w:numId w:val="7"/>
        </w:numPr>
        <w:rPr>
          <w:rFonts w:ascii="Times" w:hAnsi="Times"/>
        </w:rPr>
      </w:pPr>
      <w:r w:rsidRPr="00892EEE">
        <w:rPr>
          <w:rFonts w:ascii="Times" w:hAnsi="Times"/>
        </w:rPr>
        <w:t xml:space="preserve">How can you tell </w:t>
      </w:r>
      <w:r w:rsidR="0016248F">
        <w:rPr>
          <w:rFonts w:ascii="Times" w:hAnsi="Times"/>
        </w:rPr>
        <w:t>if</w:t>
      </w:r>
      <w:r w:rsidRPr="00892EEE">
        <w:rPr>
          <w:rFonts w:ascii="Times" w:hAnsi="Times"/>
        </w:rPr>
        <w:t xml:space="preserve"> a case has minimal diversity</w:t>
      </w:r>
      <w:r w:rsidR="0016248F">
        <w:rPr>
          <w:rFonts w:ascii="Times" w:hAnsi="Times"/>
        </w:rPr>
        <w:t>?</w:t>
      </w:r>
    </w:p>
    <w:p w:rsidR="00281148" w:rsidRPr="00892EEE" w:rsidRDefault="00281148" w:rsidP="00B51287">
      <w:pPr>
        <w:pStyle w:val="ListParagraph"/>
        <w:numPr>
          <w:ilvl w:val="2"/>
          <w:numId w:val="7"/>
        </w:numPr>
        <w:rPr>
          <w:rFonts w:ascii="Times" w:hAnsi="Times"/>
        </w:rPr>
      </w:pPr>
      <w:r w:rsidRPr="00892EEE">
        <w:rPr>
          <w:rFonts w:ascii="Times" w:hAnsi="Times"/>
        </w:rPr>
        <w:t xml:space="preserve">If </w:t>
      </w:r>
      <w:r w:rsidRPr="00C87327">
        <w:rPr>
          <w:rFonts w:ascii="Times" w:hAnsi="Times"/>
          <w:i/>
          <w:u w:val="single"/>
        </w:rPr>
        <w:t>any</w:t>
      </w:r>
      <w:r w:rsidRPr="00892EEE">
        <w:rPr>
          <w:rFonts w:ascii="Times" w:hAnsi="Times"/>
        </w:rPr>
        <w:t xml:space="preserve"> plaintiff is a citizen of a different state than </w:t>
      </w:r>
      <w:r w:rsidRPr="00C87327">
        <w:rPr>
          <w:rFonts w:ascii="Times" w:hAnsi="Times"/>
          <w:i/>
          <w:u w:val="single"/>
        </w:rPr>
        <w:t>any</w:t>
      </w:r>
      <w:r w:rsidRPr="00892EEE">
        <w:rPr>
          <w:rFonts w:ascii="Times" w:hAnsi="Times"/>
        </w:rPr>
        <w:t xml:space="preserve"> defendant the case has minimal diversity</w:t>
      </w:r>
    </w:p>
    <w:p w:rsidR="00281148" w:rsidRPr="00892EEE" w:rsidRDefault="00281148" w:rsidP="00B22A43">
      <w:pPr>
        <w:pStyle w:val="ListParagraph"/>
        <w:numPr>
          <w:ilvl w:val="2"/>
          <w:numId w:val="7"/>
        </w:numPr>
        <w:rPr>
          <w:rFonts w:ascii="Times" w:hAnsi="Times"/>
        </w:rPr>
      </w:pPr>
      <w:r w:rsidRPr="00892EEE">
        <w:rPr>
          <w:rFonts w:ascii="Times" w:hAnsi="Times"/>
        </w:rPr>
        <w:t xml:space="preserve">if you can find </w:t>
      </w:r>
      <w:r w:rsidRPr="00C87327">
        <w:rPr>
          <w:rFonts w:ascii="Times" w:hAnsi="Times"/>
          <w:b/>
        </w:rPr>
        <w:t>one</w:t>
      </w:r>
      <w:r w:rsidRPr="00892EEE">
        <w:rPr>
          <w:rFonts w:ascii="Times" w:hAnsi="Times"/>
        </w:rPr>
        <w:t xml:space="preserve"> plaintiff who is from a different state as </w:t>
      </w:r>
      <w:r w:rsidRPr="00C87327">
        <w:rPr>
          <w:rFonts w:ascii="Times" w:hAnsi="Times"/>
          <w:b/>
        </w:rPr>
        <w:t>one</w:t>
      </w:r>
      <w:r w:rsidRPr="00892EEE">
        <w:rPr>
          <w:rFonts w:ascii="Times" w:hAnsi="Times"/>
        </w:rPr>
        <w:t xml:space="preserve"> defendant, it is a minimal diversity case </w:t>
      </w:r>
    </w:p>
    <w:p w:rsidR="00281148" w:rsidRPr="00892EEE" w:rsidRDefault="00281148" w:rsidP="00463CC1">
      <w:pPr>
        <w:pStyle w:val="ListParagraph"/>
        <w:numPr>
          <w:ilvl w:val="0"/>
          <w:numId w:val="7"/>
        </w:numPr>
        <w:rPr>
          <w:rFonts w:ascii="Times" w:hAnsi="Times"/>
        </w:rPr>
      </w:pPr>
      <w:r w:rsidRPr="00892EEE">
        <w:rPr>
          <w:rFonts w:ascii="Times" w:hAnsi="Times"/>
        </w:rPr>
        <w:t>1332(a): Statute that determines which cases can go to federal court</w:t>
      </w:r>
      <w:r w:rsidR="008725FC">
        <w:rPr>
          <w:rFonts w:ascii="Times" w:hAnsi="Times"/>
        </w:rPr>
        <w:t xml:space="preserve"> under diversity</w:t>
      </w:r>
      <w:r w:rsidRPr="00892EEE">
        <w:rPr>
          <w:rFonts w:ascii="Times" w:hAnsi="Times"/>
        </w:rPr>
        <w:t xml:space="preserve">. This requires </w:t>
      </w:r>
      <w:r w:rsidRPr="00C87327">
        <w:rPr>
          <w:rFonts w:ascii="Times" w:hAnsi="Times"/>
          <w:i/>
        </w:rPr>
        <w:t>compete</w:t>
      </w:r>
      <w:r w:rsidRPr="00892EEE">
        <w:rPr>
          <w:rFonts w:ascii="Times" w:hAnsi="Times"/>
        </w:rPr>
        <w:t xml:space="preserve"> diversity</w:t>
      </w:r>
    </w:p>
    <w:p w:rsidR="00281148" w:rsidRPr="00892EEE" w:rsidRDefault="00281148" w:rsidP="00463CC1">
      <w:pPr>
        <w:pStyle w:val="ListParagraph"/>
        <w:numPr>
          <w:ilvl w:val="0"/>
          <w:numId w:val="7"/>
        </w:numPr>
        <w:rPr>
          <w:rFonts w:ascii="Times" w:hAnsi="Times"/>
        </w:rPr>
      </w:pPr>
      <w:proofErr w:type="gramStart"/>
      <w:r w:rsidRPr="00892EEE">
        <w:rPr>
          <w:rFonts w:ascii="Times" w:hAnsi="Times"/>
        </w:rPr>
        <w:t>how</w:t>
      </w:r>
      <w:proofErr w:type="gramEnd"/>
      <w:r w:rsidRPr="00892EEE">
        <w:rPr>
          <w:rFonts w:ascii="Times" w:hAnsi="Times"/>
        </w:rPr>
        <w:t xml:space="preserve"> can you tell if  case has complete diversity?</w:t>
      </w:r>
    </w:p>
    <w:p w:rsidR="00281148" w:rsidRPr="00892EEE" w:rsidRDefault="00281148" w:rsidP="00463CC1">
      <w:pPr>
        <w:pStyle w:val="ListParagraph"/>
        <w:numPr>
          <w:ilvl w:val="2"/>
          <w:numId w:val="7"/>
        </w:numPr>
        <w:rPr>
          <w:rFonts w:ascii="Times" w:hAnsi="Times"/>
        </w:rPr>
      </w:pPr>
      <w:r w:rsidRPr="00892EEE">
        <w:rPr>
          <w:rFonts w:ascii="Times" w:hAnsi="Times"/>
        </w:rPr>
        <w:t xml:space="preserve">If </w:t>
      </w:r>
      <w:r w:rsidRPr="00C87327">
        <w:rPr>
          <w:rFonts w:ascii="Times" w:hAnsi="Times"/>
          <w:i/>
          <w:u w:val="single"/>
        </w:rPr>
        <w:t>any</w:t>
      </w:r>
      <w:r w:rsidRPr="00892EEE">
        <w:rPr>
          <w:rFonts w:ascii="Times" w:hAnsi="Times"/>
        </w:rPr>
        <w:t xml:space="preserve"> plaintiff is a citizen of the same state as </w:t>
      </w:r>
      <w:r w:rsidRPr="00C87327">
        <w:rPr>
          <w:rFonts w:ascii="Times" w:hAnsi="Times"/>
          <w:i/>
          <w:u w:val="single"/>
        </w:rPr>
        <w:t>any</w:t>
      </w:r>
      <w:r w:rsidRPr="00892EEE">
        <w:rPr>
          <w:rFonts w:ascii="Times" w:hAnsi="Times"/>
        </w:rPr>
        <w:t xml:space="preserve"> defendant the case does </w:t>
      </w:r>
      <w:r w:rsidRPr="008725FC">
        <w:rPr>
          <w:rFonts w:ascii="Times" w:hAnsi="Times"/>
          <w:i/>
          <w:u w:val="single"/>
        </w:rPr>
        <w:t>not</w:t>
      </w:r>
      <w:r w:rsidRPr="00892EEE">
        <w:rPr>
          <w:rFonts w:ascii="Times" w:hAnsi="Times"/>
        </w:rPr>
        <w:t xml:space="preserve"> have complete diversity</w:t>
      </w:r>
    </w:p>
    <w:p w:rsidR="00281148" w:rsidRPr="00892EEE" w:rsidRDefault="00281148" w:rsidP="00C87327">
      <w:pPr>
        <w:pStyle w:val="ListParagraph"/>
        <w:rPr>
          <w:rFonts w:ascii="Times" w:hAnsi="Times"/>
        </w:rPr>
      </w:pPr>
    </w:p>
    <w:p w:rsidR="00281148" w:rsidRPr="00892EEE" w:rsidRDefault="00281148" w:rsidP="00C87327">
      <w:pPr>
        <w:pStyle w:val="ListParagraph"/>
        <w:rPr>
          <w:rFonts w:ascii="Times" w:hAnsi="Times"/>
        </w:rPr>
      </w:pPr>
      <w:r w:rsidRPr="00892EEE">
        <w:rPr>
          <w:rFonts w:ascii="Times" w:hAnsi="Times"/>
        </w:rPr>
        <w:t>Is 1332(a) well drafted given its purpose of protecting out of state defendants against the prejudice of state courts? Consider the following…</w:t>
      </w:r>
    </w:p>
    <w:p w:rsidR="00281148" w:rsidRPr="00892EEE" w:rsidRDefault="00281148" w:rsidP="00463CC1">
      <w:pPr>
        <w:pStyle w:val="ListParagraph"/>
        <w:numPr>
          <w:ilvl w:val="1"/>
          <w:numId w:val="7"/>
        </w:numPr>
        <w:rPr>
          <w:rFonts w:ascii="Times" w:hAnsi="Times"/>
        </w:rPr>
      </w:pPr>
      <w:r w:rsidRPr="00892EEE">
        <w:rPr>
          <w:rFonts w:ascii="Times" w:hAnsi="Times"/>
        </w:rPr>
        <w:t xml:space="preserve">Hypos: Californian sues a Nevadan in Federal Court in Oregon. Yes, subject to federal jurisdiction under 1332. But is this a case where there is </w:t>
      </w:r>
      <w:r w:rsidRPr="00892EEE">
        <w:rPr>
          <w:rFonts w:ascii="Times" w:hAnsi="Times"/>
        </w:rPr>
        <w:lastRenderedPageBreak/>
        <w:t>a worry about prejudice? No – the Oregon state court would not favor one party over the other.</w:t>
      </w:r>
    </w:p>
    <w:p w:rsidR="00281148" w:rsidRPr="00892EEE" w:rsidRDefault="00E73A6B" w:rsidP="00463CC1">
      <w:pPr>
        <w:pStyle w:val="ListParagraph"/>
        <w:numPr>
          <w:ilvl w:val="1"/>
          <w:numId w:val="7"/>
        </w:numPr>
        <w:rPr>
          <w:rFonts w:ascii="Times" w:hAnsi="Times"/>
        </w:rPr>
      </w:pPr>
      <w:r>
        <w:rPr>
          <w:rFonts w:ascii="Times" w:hAnsi="Times"/>
        </w:rPr>
        <w:t>Californian</w:t>
      </w:r>
      <w:r w:rsidR="00281148" w:rsidRPr="00892EEE">
        <w:rPr>
          <w:rFonts w:ascii="Times" w:hAnsi="Times"/>
        </w:rPr>
        <w:t xml:space="preserve"> sues </w:t>
      </w:r>
      <w:r>
        <w:rPr>
          <w:rFonts w:ascii="Times" w:hAnsi="Times"/>
        </w:rPr>
        <w:t>Nevadan</w:t>
      </w:r>
      <w:r w:rsidR="00281148" w:rsidRPr="00892EEE">
        <w:rPr>
          <w:rFonts w:ascii="Times" w:hAnsi="Times"/>
        </w:rPr>
        <w:t xml:space="preserve"> in Federal Court in California. Diversity? Yes. According to 1332 case can go to federal court. But is this a case where there is a worry about prejudice? </w:t>
      </w:r>
    </w:p>
    <w:p w:rsidR="00281148" w:rsidRPr="00892EEE" w:rsidRDefault="00281148" w:rsidP="00892EEE">
      <w:pPr>
        <w:pStyle w:val="NoteLevel3"/>
        <w:tabs>
          <w:tab w:val="clear" w:pos="1440"/>
        </w:tabs>
        <w:ind w:left="2160"/>
        <w:rPr>
          <w:rFonts w:ascii="Times" w:hAnsi="Times"/>
        </w:rPr>
      </w:pPr>
      <w:r w:rsidRPr="00892EEE">
        <w:rPr>
          <w:rFonts w:ascii="Times" w:hAnsi="Times"/>
        </w:rPr>
        <w:t xml:space="preserve">MSG: </w:t>
      </w:r>
      <w:r w:rsidR="00E533B9">
        <w:rPr>
          <w:rFonts w:ascii="Times" w:hAnsi="Times"/>
        </w:rPr>
        <w:t>No – Californian does not need the protection of a federal court</w:t>
      </w:r>
    </w:p>
    <w:p w:rsidR="00281148" w:rsidRPr="00892EEE" w:rsidRDefault="00E533B9" w:rsidP="00463CC1">
      <w:pPr>
        <w:pStyle w:val="ListParagraph"/>
        <w:numPr>
          <w:ilvl w:val="1"/>
          <w:numId w:val="7"/>
        </w:numPr>
        <w:rPr>
          <w:rFonts w:ascii="Times" w:hAnsi="Times"/>
        </w:rPr>
      </w:pPr>
      <w:r>
        <w:rPr>
          <w:rFonts w:ascii="Times" w:hAnsi="Times"/>
        </w:rPr>
        <w:t>Californian</w:t>
      </w:r>
      <w:r w:rsidRPr="00892EEE">
        <w:rPr>
          <w:rFonts w:ascii="Times" w:hAnsi="Times"/>
        </w:rPr>
        <w:t xml:space="preserve"> </w:t>
      </w:r>
      <w:r w:rsidR="00281148" w:rsidRPr="00892EEE">
        <w:rPr>
          <w:rFonts w:ascii="Times" w:hAnsi="Times"/>
        </w:rPr>
        <w:t xml:space="preserve">sues </w:t>
      </w:r>
      <w:r>
        <w:rPr>
          <w:rFonts w:ascii="Times" w:hAnsi="Times"/>
        </w:rPr>
        <w:t>Californian</w:t>
      </w:r>
      <w:r w:rsidRPr="00892EEE">
        <w:rPr>
          <w:rFonts w:ascii="Times" w:hAnsi="Times"/>
        </w:rPr>
        <w:t xml:space="preserve"> </w:t>
      </w:r>
      <w:r w:rsidR="00281148" w:rsidRPr="00892EEE">
        <w:rPr>
          <w:rFonts w:ascii="Times" w:hAnsi="Times"/>
        </w:rPr>
        <w:t xml:space="preserve">and </w:t>
      </w:r>
      <w:r>
        <w:rPr>
          <w:rFonts w:ascii="Times" w:hAnsi="Times"/>
        </w:rPr>
        <w:t>Nevadan</w:t>
      </w:r>
      <w:r w:rsidRPr="00892EEE">
        <w:rPr>
          <w:rFonts w:ascii="Times" w:hAnsi="Times"/>
        </w:rPr>
        <w:t xml:space="preserve"> </w:t>
      </w:r>
      <w:r w:rsidR="00281148" w:rsidRPr="00892EEE">
        <w:rPr>
          <w:rFonts w:ascii="Times" w:hAnsi="Times"/>
        </w:rPr>
        <w:t>in federal court in NV. Diversity? No. Because there is only minimal diver</w:t>
      </w:r>
      <w:r w:rsidR="008725FC">
        <w:rPr>
          <w:rFonts w:ascii="Times" w:hAnsi="Times"/>
        </w:rPr>
        <w:t>sity (P and one of the D’s is a Californian</w:t>
      </w:r>
      <w:r w:rsidR="00281148" w:rsidRPr="00892EEE">
        <w:rPr>
          <w:rFonts w:ascii="Times" w:hAnsi="Times"/>
        </w:rPr>
        <w:t xml:space="preserve">). 1332 requires complete diversity. </w:t>
      </w:r>
    </w:p>
    <w:p w:rsidR="00281148" w:rsidRPr="00892EEE" w:rsidRDefault="00281148" w:rsidP="00892EEE">
      <w:pPr>
        <w:pStyle w:val="NoteLevel3"/>
        <w:tabs>
          <w:tab w:val="clear" w:pos="1440"/>
        </w:tabs>
        <w:ind w:left="2160"/>
        <w:rPr>
          <w:rFonts w:ascii="Times" w:hAnsi="Times"/>
        </w:rPr>
      </w:pPr>
      <w:r w:rsidRPr="00892EEE">
        <w:rPr>
          <w:rFonts w:ascii="Times" w:hAnsi="Times"/>
        </w:rPr>
        <w:t>MSG: still filled w/ possibility of prejudice in state court – the court might make sure liability rests on the Nevadan</w:t>
      </w:r>
    </w:p>
    <w:p w:rsidR="00281148" w:rsidRPr="00892EEE" w:rsidRDefault="00281148" w:rsidP="00892EEE">
      <w:pPr>
        <w:pStyle w:val="NoteLevel3"/>
        <w:numPr>
          <w:ilvl w:val="0"/>
          <w:numId w:val="0"/>
        </w:numPr>
        <w:ind w:left="360"/>
        <w:rPr>
          <w:rFonts w:ascii="Times" w:hAnsi="Times"/>
        </w:rPr>
      </w:pPr>
    </w:p>
    <w:p w:rsidR="00281148" w:rsidRPr="00892EEE" w:rsidRDefault="00281148" w:rsidP="00892EEE">
      <w:pPr>
        <w:pStyle w:val="NoteLevel3"/>
        <w:numPr>
          <w:ilvl w:val="0"/>
          <w:numId w:val="0"/>
        </w:numPr>
        <w:ind w:left="360"/>
        <w:rPr>
          <w:rFonts w:ascii="Times" w:hAnsi="Times"/>
        </w:rPr>
      </w:pPr>
      <w:r w:rsidRPr="00892EEE">
        <w:rPr>
          <w:rFonts w:ascii="Times" w:hAnsi="Times"/>
        </w:rPr>
        <w:t xml:space="preserve">MSG: diversity rule is poorly drafted given its goal of protecting against prejudice in state court against out of </w:t>
      </w:r>
      <w:proofErr w:type="spellStart"/>
      <w:r w:rsidRPr="00892EEE">
        <w:rPr>
          <w:rFonts w:ascii="Times" w:hAnsi="Times"/>
        </w:rPr>
        <w:t>staters</w:t>
      </w:r>
      <w:proofErr w:type="spellEnd"/>
      <w:r w:rsidRPr="00892EEE">
        <w:rPr>
          <w:rFonts w:ascii="Times" w:hAnsi="Times"/>
        </w:rPr>
        <w:t>.</w:t>
      </w:r>
      <w:bookmarkStart w:id="0" w:name="_GoBack"/>
      <w:bookmarkEnd w:id="0"/>
    </w:p>
    <w:p w:rsidR="00281148" w:rsidRPr="00892EEE" w:rsidRDefault="00281148" w:rsidP="00892EEE">
      <w:pPr>
        <w:rPr>
          <w:rFonts w:ascii="Times" w:hAnsi="Times"/>
        </w:rPr>
      </w:pPr>
    </w:p>
    <w:sectPr w:rsidR="00281148" w:rsidRPr="00892EEE" w:rsidSect="00AC0E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16E8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10B2B"/>
    <w:multiLevelType w:val="hybridMultilevel"/>
    <w:tmpl w:val="D6F87F08"/>
    <w:lvl w:ilvl="0" w:tplc="C66CB630">
      <w:start w:val="1"/>
      <w:numFmt w:val="bullet"/>
      <w:lvlText w:val="-"/>
      <w:lvlJc w:val="left"/>
      <w:pPr>
        <w:ind w:left="1080" w:hanging="360"/>
      </w:pPr>
      <w:rPr>
        <w:rFonts w:ascii="Cambria" w:eastAsia="MS Mincho"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2B1A73"/>
    <w:multiLevelType w:val="hybridMultilevel"/>
    <w:tmpl w:val="B52600B2"/>
    <w:lvl w:ilvl="0" w:tplc="C66CB630">
      <w:start w:val="1"/>
      <w:numFmt w:val="bullet"/>
      <w:lvlText w:val="-"/>
      <w:lvlJc w:val="left"/>
      <w:pPr>
        <w:ind w:left="1132" w:hanging="360"/>
      </w:pPr>
      <w:rPr>
        <w:rFonts w:ascii="Cambria" w:eastAsia="MS Mincho" w:hAnsi="Cambria" w:hint="default"/>
      </w:rPr>
    </w:lvl>
    <w:lvl w:ilvl="1" w:tplc="04090003">
      <w:start w:val="1"/>
      <w:numFmt w:val="bullet"/>
      <w:lvlText w:val="o"/>
      <w:lvlJc w:val="left"/>
      <w:pPr>
        <w:ind w:left="1492" w:hanging="360"/>
      </w:pPr>
      <w:rPr>
        <w:rFonts w:ascii="Courier New" w:hAnsi="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43763B9F"/>
    <w:multiLevelType w:val="hybridMultilevel"/>
    <w:tmpl w:val="F15E55E6"/>
    <w:lvl w:ilvl="0" w:tplc="04090003">
      <w:start w:val="1"/>
      <w:numFmt w:val="bullet"/>
      <w:pStyle w:val="NoteLevel1"/>
      <w:lvlText w:val="o"/>
      <w:lvlJc w:val="left"/>
      <w:pPr>
        <w:ind w:left="720" w:hanging="360"/>
      </w:pPr>
      <w:rPr>
        <w:rFonts w:ascii="Courier New" w:hAnsi="Courier New" w:hint="default"/>
      </w:rPr>
    </w:lvl>
    <w:lvl w:ilvl="1" w:tplc="04090003">
      <w:start w:val="1"/>
      <w:numFmt w:val="bullet"/>
      <w:pStyle w:val="NoteLevel2"/>
      <w:lvlText w:val="o"/>
      <w:lvlJc w:val="left"/>
      <w:pPr>
        <w:ind w:left="1440" w:hanging="360"/>
      </w:pPr>
      <w:rPr>
        <w:rFonts w:ascii="Courier New" w:hAnsi="Courier New" w:hint="default"/>
      </w:rPr>
    </w:lvl>
    <w:lvl w:ilvl="2" w:tplc="04090005">
      <w:start w:val="1"/>
      <w:numFmt w:val="bullet"/>
      <w:pStyle w:val="NoteLevel3"/>
      <w:lvlText w:val=""/>
      <w:lvlJc w:val="left"/>
      <w:pPr>
        <w:ind w:left="2160" w:hanging="360"/>
      </w:pPr>
      <w:rPr>
        <w:rFonts w:ascii="Wingdings" w:hAnsi="Wingdings" w:hint="default"/>
      </w:rPr>
    </w:lvl>
    <w:lvl w:ilvl="3" w:tplc="04090001" w:tentative="1">
      <w:start w:val="1"/>
      <w:numFmt w:val="bullet"/>
      <w:pStyle w:val="NoteLevel4"/>
      <w:lvlText w:val=""/>
      <w:lvlJc w:val="left"/>
      <w:pPr>
        <w:ind w:left="2880" w:hanging="360"/>
      </w:pPr>
      <w:rPr>
        <w:rFonts w:ascii="Symbol" w:hAnsi="Symbol" w:hint="default"/>
      </w:rPr>
    </w:lvl>
    <w:lvl w:ilvl="4" w:tplc="04090003" w:tentative="1">
      <w:start w:val="1"/>
      <w:numFmt w:val="bullet"/>
      <w:pStyle w:val="NoteLevel5"/>
      <w:lvlText w:val="o"/>
      <w:lvlJc w:val="left"/>
      <w:pPr>
        <w:ind w:left="3600" w:hanging="360"/>
      </w:pPr>
      <w:rPr>
        <w:rFonts w:ascii="Courier New" w:hAnsi="Courier New" w:hint="default"/>
      </w:rPr>
    </w:lvl>
    <w:lvl w:ilvl="5" w:tplc="04090005" w:tentative="1">
      <w:start w:val="1"/>
      <w:numFmt w:val="bullet"/>
      <w:pStyle w:val="NoteLevel6"/>
      <w:lvlText w:val=""/>
      <w:lvlJc w:val="left"/>
      <w:pPr>
        <w:ind w:left="4320" w:hanging="360"/>
      </w:pPr>
      <w:rPr>
        <w:rFonts w:ascii="Wingdings" w:hAnsi="Wingdings" w:hint="default"/>
      </w:rPr>
    </w:lvl>
    <w:lvl w:ilvl="6" w:tplc="04090001" w:tentative="1">
      <w:start w:val="1"/>
      <w:numFmt w:val="bullet"/>
      <w:pStyle w:val="NoteLevel7"/>
      <w:lvlText w:val=""/>
      <w:lvlJc w:val="left"/>
      <w:pPr>
        <w:ind w:left="5040" w:hanging="360"/>
      </w:pPr>
      <w:rPr>
        <w:rFonts w:ascii="Symbol" w:hAnsi="Symbol" w:hint="default"/>
      </w:rPr>
    </w:lvl>
    <w:lvl w:ilvl="7" w:tplc="04090003" w:tentative="1">
      <w:start w:val="1"/>
      <w:numFmt w:val="bullet"/>
      <w:pStyle w:val="NoteLevel8"/>
      <w:lvlText w:val="o"/>
      <w:lvlJc w:val="left"/>
      <w:pPr>
        <w:ind w:left="5760" w:hanging="360"/>
      </w:pPr>
      <w:rPr>
        <w:rFonts w:ascii="Courier New" w:hAnsi="Courier New" w:hint="default"/>
      </w:rPr>
    </w:lvl>
    <w:lvl w:ilvl="8" w:tplc="04090005" w:tentative="1">
      <w:start w:val="1"/>
      <w:numFmt w:val="bullet"/>
      <w:pStyle w:val="NoteLevel9"/>
      <w:lvlText w:val=""/>
      <w:lvlJc w:val="left"/>
      <w:pPr>
        <w:ind w:left="6480" w:hanging="360"/>
      </w:pPr>
      <w:rPr>
        <w:rFonts w:ascii="Wingdings" w:hAnsi="Wingdings" w:hint="default"/>
      </w:rPr>
    </w:lvl>
  </w:abstractNum>
  <w:abstractNum w:abstractNumId="4">
    <w:nsid w:val="69FA6356"/>
    <w:multiLevelType w:val="hybridMultilevel"/>
    <w:tmpl w:val="377E563C"/>
    <w:lvl w:ilvl="0" w:tplc="C66CB630">
      <w:start w:val="1"/>
      <w:numFmt w:val="bullet"/>
      <w:lvlText w:val="-"/>
      <w:lvlJc w:val="left"/>
      <w:pPr>
        <w:ind w:left="108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D4D12"/>
    <w:multiLevelType w:val="hybridMultilevel"/>
    <w:tmpl w:val="07664EF0"/>
    <w:lvl w:ilvl="0" w:tplc="C66CB630">
      <w:start w:val="1"/>
      <w:numFmt w:val="bullet"/>
      <w:lvlText w:val="-"/>
      <w:lvlJc w:val="left"/>
      <w:pPr>
        <w:ind w:left="108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F4"/>
    <w:rsid w:val="00061185"/>
    <w:rsid w:val="000F39F4"/>
    <w:rsid w:val="0014658E"/>
    <w:rsid w:val="0016248F"/>
    <w:rsid w:val="00276775"/>
    <w:rsid w:val="00281148"/>
    <w:rsid w:val="00380DB4"/>
    <w:rsid w:val="00463CC1"/>
    <w:rsid w:val="007B0224"/>
    <w:rsid w:val="008725FC"/>
    <w:rsid w:val="00892EEE"/>
    <w:rsid w:val="00897867"/>
    <w:rsid w:val="0093636E"/>
    <w:rsid w:val="00A95C2D"/>
    <w:rsid w:val="00AC0EE6"/>
    <w:rsid w:val="00B22A43"/>
    <w:rsid w:val="00B51287"/>
    <w:rsid w:val="00B576F4"/>
    <w:rsid w:val="00C2211E"/>
    <w:rsid w:val="00C87327"/>
    <w:rsid w:val="00D734AC"/>
    <w:rsid w:val="00DE38FD"/>
    <w:rsid w:val="00E533B9"/>
    <w:rsid w:val="00E73A6B"/>
    <w:rsid w:val="00EE55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1D00C-8D07-45D8-ACF1-516AF454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76F4"/>
    <w:pPr>
      <w:ind w:left="720"/>
      <w:contextualSpacing/>
    </w:pPr>
  </w:style>
  <w:style w:type="paragraph" w:customStyle="1" w:styleId="NoteLevel1">
    <w:name w:val="Note Level 1"/>
    <w:basedOn w:val="Normal"/>
    <w:uiPriority w:val="99"/>
    <w:rsid w:val="00892EEE"/>
    <w:pPr>
      <w:keepNext/>
      <w:numPr>
        <w:numId w:val="7"/>
      </w:numPr>
      <w:tabs>
        <w:tab w:val="num" w:pos="0"/>
      </w:tabs>
      <w:ind w:left="0" w:firstLine="0"/>
      <w:contextualSpacing/>
      <w:outlineLvl w:val="0"/>
    </w:pPr>
    <w:rPr>
      <w:rFonts w:ascii="Verdana" w:eastAsia="MS Gothic" w:hAnsi="Verdana"/>
    </w:rPr>
  </w:style>
  <w:style w:type="paragraph" w:customStyle="1" w:styleId="NoteLevel2">
    <w:name w:val="Note Level 2"/>
    <w:basedOn w:val="Normal"/>
    <w:uiPriority w:val="99"/>
    <w:rsid w:val="00892EEE"/>
    <w:pPr>
      <w:keepNext/>
      <w:numPr>
        <w:ilvl w:val="1"/>
        <w:numId w:val="7"/>
      </w:numPr>
      <w:tabs>
        <w:tab w:val="num" w:pos="720"/>
      </w:tabs>
      <w:ind w:left="1080"/>
      <w:contextualSpacing/>
      <w:outlineLvl w:val="1"/>
    </w:pPr>
    <w:rPr>
      <w:rFonts w:ascii="Verdana" w:eastAsia="MS Gothic" w:hAnsi="Verdana"/>
    </w:rPr>
  </w:style>
  <w:style w:type="paragraph" w:customStyle="1" w:styleId="NoteLevel3">
    <w:name w:val="Note Level 3"/>
    <w:basedOn w:val="Normal"/>
    <w:uiPriority w:val="99"/>
    <w:rsid w:val="00892EEE"/>
    <w:pPr>
      <w:keepNext/>
      <w:numPr>
        <w:ilvl w:val="2"/>
        <w:numId w:val="7"/>
      </w:numPr>
      <w:tabs>
        <w:tab w:val="num" w:pos="1440"/>
      </w:tabs>
      <w:ind w:left="1800"/>
      <w:contextualSpacing/>
      <w:outlineLvl w:val="2"/>
    </w:pPr>
    <w:rPr>
      <w:rFonts w:ascii="Verdana" w:eastAsia="MS Gothic" w:hAnsi="Verdana"/>
    </w:rPr>
  </w:style>
  <w:style w:type="paragraph" w:customStyle="1" w:styleId="NoteLevel4">
    <w:name w:val="Note Level 4"/>
    <w:basedOn w:val="Normal"/>
    <w:uiPriority w:val="99"/>
    <w:rsid w:val="00892EEE"/>
    <w:pPr>
      <w:keepNext/>
      <w:numPr>
        <w:ilvl w:val="3"/>
        <w:numId w:val="7"/>
      </w:numPr>
      <w:tabs>
        <w:tab w:val="num" w:pos="2160"/>
      </w:tabs>
      <w:ind w:left="2520"/>
      <w:contextualSpacing/>
      <w:outlineLvl w:val="3"/>
    </w:pPr>
    <w:rPr>
      <w:rFonts w:ascii="Verdana" w:eastAsia="MS Gothic" w:hAnsi="Verdana"/>
    </w:rPr>
  </w:style>
  <w:style w:type="paragraph" w:customStyle="1" w:styleId="NoteLevel5">
    <w:name w:val="Note Level 5"/>
    <w:basedOn w:val="Normal"/>
    <w:uiPriority w:val="99"/>
    <w:rsid w:val="00892EEE"/>
    <w:pPr>
      <w:keepNext/>
      <w:numPr>
        <w:ilvl w:val="4"/>
        <w:numId w:val="7"/>
      </w:numPr>
      <w:tabs>
        <w:tab w:val="num" w:pos="2880"/>
      </w:tabs>
      <w:ind w:left="3240"/>
      <w:contextualSpacing/>
      <w:outlineLvl w:val="4"/>
    </w:pPr>
    <w:rPr>
      <w:rFonts w:ascii="Verdana" w:eastAsia="MS Gothic" w:hAnsi="Verdana"/>
    </w:rPr>
  </w:style>
  <w:style w:type="paragraph" w:customStyle="1" w:styleId="NoteLevel6">
    <w:name w:val="Note Level 6"/>
    <w:basedOn w:val="Normal"/>
    <w:uiPriority w:val="99"/>
    <w:semiHidden/>
    <w:rsid w:val="00892EEE"/>
    <w:pPr>
      <w:keepNext/>
      <w:numPr>
        <w:ilvl w:val="5"/>
        <w:numId w:val="7"/>
      </w:numPr>
      <w:tabs>
        <w:tab w:val="num" w:pos="3600"/>
      </w:tabs>
      <w:ind w:left="3960"/>
      <w:contextualSpacing/>
      <w:outlineLvl w:val="5"/>
    </w:pPr>
    <w:rPr>
      <w:rFonts w:ascii="Verdana" w:eastAsia="MS Gothic" w:hAnsi="Verdana"/>
    </w:rPr>
  </w:style>
  <w:style w:type="paragraph" w:customStyle="1" w:styleId="NoteLevel7">
    <w:name w:val="Note Level 7"/>
    <w:basedOn w:val="Normal"/>
    <w:uiPriority w:val="99"/>
    <w:semiHidden/>
    <w:rsid w:val="00892EEE"/>
    <w:pPr>
      <w:keepNext/>
      <w:numPr>
        <w:ilvl w:val="6"/>
        <w:numId w:val="7"/>
      </w:numPr>
      <w:tabs>
        <w:tab w:val="num" w:pos="4320"/>
      </w:tabs>
      <w:ind w:left="4680"/>
      <w:contextualSpacing/>
      <w:outlineLvl w:val="6"/>
    </w:pPr>
    <w:rPr>
      <w:rFonts w:ascii="Verdana" w:eastAsia="MS Gothic" w:hAnsi="Verdana"/>
    </w:rPr>
  </w:style>
  <w:style w:type="paragraph" w:customStyle="1" w:styleId="NoteLevel8">
    <w:name w:val="Note Level 8"/>
    <w:basedOn w:val="Normal"/>
    <w:uiPriority w:val="99"/>
    <w:semiHidden/>
    <w:rsid w:val="00892EEE"/>
    <w:pPr>
      <w:keepNext/>
      <w:numPr>
        <w:ilvl w:val="7"/>
        <w:numId w:val="7"/>
      </w:numPr>
      <w:tabs>
        <w:tab w:val="num" w:pos="5040"/>
      </w:tabs>
      <w:ind w:left="5400"/>
      <w:contextualSpacing/>
      <w:outlineLvl w:val="7"/>
    </w:pPr>
    <w:rPr>
      <w:rFonts w:ascii="Verdana" w:eastAsia="MS Gothic" w:hAnsi="Verdana"/>
    </w:rPr>
  </w:style>
  <w:style w:type="paragraph" w:customStyle="1" w:styleId="NoteLevel9">
    <w:name w:val="Note Level 9"/>
    <w:basedOn w:val="Normal"/>
    <w:uiPriority w:val="99"/>
    <w:semiHidden/>
    <w:rsid w:val="00892EEE"/>
    <w:pPr>
      <w:keepNext/>
      <w:numPr>
        <w:ilvl w:val="8"/>
        <w:numId w:val="7"/>
      </w:numPr>
      <w:tabs>
        <w:tab w:val="num" w:pos="5760"/>
      </w:tabs>
      <w:ind w:left="6120"/>
      <w:contextualSpacing/>
      <w:outlineLvl w:val="8"/>
    </w:pPr>
    <w:rPr>
      <w:rFonts w:ascii="Verdana" w:eastAsia="MS Gothic" w:hAnsi="Verdana"/>
    </w:rPr>
  </w:style>
  <w:style w:type="paragraph" w:styleId="BalloonText">
    <w:name w:val="Balloon Text"/>
    <w:basedOn w:val="Normal"/>
    <w:link w:val="BalloonTextChar"/>
    <w:uiPriority w:val="99"/>
    <w:semiHidden/>
    <w:unhideWhenUsed/>
    <w:rsid w:val="0093636E"/>
    <w:rPr>
      <w:rFonts w:ascii="Segoe UI" w:hAnsi="Segoe UI" w:cs="Segoe UI"/>
      <w:sz w:val="18"/>
      <w:szCs w:val="18"/>
    </w:rPr>
  </w:style>
  <w:style w:type="character" w:customStyle="1" w:styleId="BalloonTextChar">
    <w:name w:val="Balloon Text Char"/>
    <w:link w:val="BalloonText"/>
    <w:uiPriority w:val="99"/>
    <w:semiHidden/>
    <w:rsid w:val="00936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Class Notes for Thursday September 12th</vt:lpstr>
    </vt:vector>
  </TitlesOfParts>
  <Company>The College of William and Mary</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Notes for Thursday September 12th</dc:title>
  <dc:subject/>
  <dc:creator>James  Damon</dc:creator>
  <cp:keywords/>
  <cp:lastModifiedBy>Michael</cp:lastModifiedBy>
  <cp:revision>2</cp:revision>
  <cp:lastPrinted>2013-09-14T02:06:00Z</cp:lastPrinted>
  <dcterms:created xsi:type="dcterms:W3CDTF">2013-09-14T18:23:00Z</dcterms:created>
  <dcterms:modified xsi:type="dcterms:W3CDTF">2013-09-14T18:23:00Z</dcterms:modified>
</cp:coreProperties>
</file>