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C2" w:rsidRDefault="00A47AC2" w:rsidP="00CA1A2E">
      <w:pPr>
        <w:widowControl w:val="0"/>
      </w:pPr>
      <w:r>
        <w:t>Notes for Civil Procedure 9/5/2013</w:t>
      </w:r>
    </w:p>
    <w:p w:rsidR="00A47AC2" w:rsidRDefault="00A47AC2" w:rsidP="00CA1A2E">
      <w:pPr>
        <w:widowControl w:val="0"/>
      </w:pPr>
      <w:r>
        <w:t>Caroline Caldwell &amp; Aaron Colby</w:t>
      </w:r>
    </w:p>
    <w:p w:rsidR="00A47AC2" w:rsidRDefault="00A47AC2" w:rsidP="00CA1A2E">
      <w:pPr>
        <w:pStyle w:val="NoteLevel1"/>
        <w:keepNext w:val="0"/>
        <w:widowControl w:val="0"/>
      </w:pPr>
    </w:p>
    <w:p w:rsidR="00A47AC2" w:rsidRDefault="00A47AC2" w:rsidP="00CA1A2E">
      <w:pPr>
        <w:pStyle w:val="NoteLevel1"/>
        <w:keepNext w:val="0"/>
        <w:widowControl w:val="0"/>
      </w:pPr>
      <w:r>
        <w:rPr>
          <w:i/>
        </w:rPr>
        <w:t>Federal Rule 11</w:t>
      </w:r>
      <w:r>
        <w:t xml:space="preserve"> is only applicable in Federal Court</w:t>
      </w:r>
    </w:p>
    <w:p w:rsidR="00A47AC2" w:rsidRDefault="00A47AC2" w:rsidP="00CA1A2E">
      <w:pPr>
        <w:pStyle w:val="NoteLevel2"/>
        <w:keepNext w:val="0"/>
        <w:widowControl w:val="0"/>
      </w:pPr>
      <w:r>
        <w:t xml:space="preserve">It requires every paper, motion, </w:t>
      </w:r>
      <w:proofErr w:type="spellStart"/>
      <w:r>
        <w:t>etc</w:t>
      </w:r>
      <w:proofErr w:type="spellEnd"/>
      <w:r>
        <w:t>; be signed, it won’t be filed if it’s not.</w:t>
      </w:r>
    </w:p>
    <w:p w:rsidR="00A47AC2" w:rsidRDefault="00A47AC2" w:rsidP="00CA1A2E">
      <w:pPr>
        <w:pStyle w:val="NoteLevel2"/>
        <w:keepNext w:val="0"/>
        <w:widowControl w:val="0"/>
      </w:pPr>
      <w:r>
        <w:t>Person who signs asserts that a number of things are true – anybody who submits it, advocates for it as well.</w:t>
      </w:r>
    </w:p>
    <w:p w:rsidR="00A47AC2" w:rsidRDefault="00A47AC2" w:rsidP="00CA1A2E">
      <w:pPr>
        <w:pStyle w:val="NoteLevel1"/>
        <w:keepNext w:val="0"/>
        <w:widowControl w:val="0"/>
      </w:pPr>
    </w:p>
    <w:p w:rsidR="00A47AC2" w:rsidRDefault="00A47AC2" w:rsidP="00CA1A2E">
      <w:pPr>
        <w:pStyle w:val="NoteLevel1"/>
        <w:keepNext w:val="0"/>
        <w:widowControl w:val="0"/>
      </w:pPr>
      <w:r>
        <w:t>Each signer is representing:</w:t>
      </w:r>
    </w:p>
    <w:p w:rsidR="00A47AC2" w:rsidRDefault="00A47AC2" w:rsidP="00CA1A2E">
      <w:pPr>
        <w:pStyle w:val="NoteLevel1"/>
        <w:keepNext w:val="0"/>
        <w:widowControl w:val="0"/>
      </w:pPr>
      <w:r>
        <w:tab/>
        <w:t>1. It doesn’t have a bad purpose</w:t>
      </w:r>
    </w:p>
    <w:p w:rsidR="00A47AC2" w:rsidRDefault="00A47AC2" w:rsidP="00CA1A2E">
      <w:pPr>
        <w:pStyle w:val="NoteLevel1"/>
        <w:keepNext w:val="0"/>
        <w:widowControl w:val="0"/>
      </w:pPr>
      <w:r>
        <w:tab/>
        <w:t>2. The legal contentions are not frivolous</w:t>
      </w:r>
    </w:p>
    <w:p w:rsidR="00A47AC2" w:rsidRDefault="00A47AC2" w:rsidP="00CA1A2E">
      <w:pPr>
        <w:pStyle w:val="NoteLevel4"/>
        <w:keepNext w:val="0"/>
        <w:widowControl w:val="0"/>
        <w:numPr>
          <w:ilvl w:val="0"/>
          <w:numId w:val="0"/>
        </w:numPr>
        <w:tabs>
          <w:tab w:val="left" w:pos="720"/>
        </w:tabs>
        <w:ind w:left="1080" w:hanging="360"/>
      </w:pPr>
      <w:r>
        <w:t>3. The factual allegations have evidentiary support or will after investigation/discovery</w:t>
      </w:r>
    </w:p>
    <w:p w:rsidR="00A47AC2" w:rsidRDefault="00A47AC2" w:rsidP="00CA1A2E">
      <w:pPr>
        <w:pStyle w:val="NoteLevel4"/>
        <w:keepNext w:val="0"/>
        <w:widowControl w:val="0"/>
        <w:numPr>
          <w:ilvl w:val="0"/>
          <w:numId w:val="0"/>
        </w:numPr>
        <w:tabs>
          <w:tab w:val="left" w:pos="720"/>
        </w:tabs>
        <w:ind w:left="1080" w:hanging="360"/>
      </w:pPr>
      <w:r>
        <w:t>4. The denials shave evidentiary support</w:t>
      </w:r>
    </w:p>
    <w:p w:rsidR="00A47AC2" w:rsidRDefault="00A47AC2" w:rsidP="00CA1A2E">
      <w:pPr>
        <w:pStyle w:val="NoteLevel1"/>
        <w:keepNext w:val="0"/>
        <w:widowControl w:val="0"/>
      </w:pPr>
    </w:p>
    <w:p w:rsidR="00A47AC2" w:rsidRDefault="00A47AC2" w:rsidP="00CA1A2E">
      <w:pPr>
        <w:pStyle w:val="NoteLevel1"/>
        <w:keepNext w:val="0"/>
        <w:widowControl w:val="0"/>
      </w:pPr>
      <w:r>
        <w:t xml:space="preserve">Murphy v. Cuomo </w:t>
      </w:r>
    </w:p>
    <w:p w:rsidR="00A47AC2" w:rsidRDefault="00A47AC2" w:rsidP="00CA1A2E">
      <w:pPr>
        <w:pStyle w:val="NoteLevel2"/>
        <w:keepNext w:val="0"/>
        <w:widowControl w:val="0"/>
      </w:pPr>
      <w:r>
        <w:t>Northern District of NY</w:t>
      </w:r>
    </w:p>
    <w:p w:rsidR="00A47AC2" w:rsidRDefault="00A47AC2" w:rsidP="00CA1A2E">
      <w:pPr>
        <w:pStyle w:val="NoteLevel2"/>
        <w:keepNext w:val="0"/>
        <w:widowControl w:val="0"/>
      </w:pPr>
      <w:r>
        <w:t xml:space="preserve">Does Murphy satisfy </w:t>
      </w:r>
      <w:proofErr w:type="spellStart"/>
      <w:r>
        <w:rPr>
          <w:i/>
        </w:rPr>
        <w:t>Twiqbal</w:t>
      </w:r>
      <w:proofErr w:type="spellEnd"/>
      <w:r>
        <w:t>? It’s possible—he is certainly very specific with his factual allegations.</w:t>
      </w:r>
    </w:p>
    <w:p w:rsidR="00A47AC2" w:rsidRDefault="00A47AC2" w:rsidP="00CA1A2E">
      <w:pPr>
        <w:pStyle w:val="NoteLevel2"/>
        <w:keepNext w:val="0"/>
        <w:widowControl w:val="0"/>
      </w:pPr>
      <w:r>
        <w:t xml:space="preserve">Indicates that </w:t>
      </w:r>
      <w:proofErr w:type="spellStart"/>
      <w:r>
        <w:rPr>
          <w:i/>
        </w:rPr>
        <w:t>Twombly</w:t>
      </w:r>
      <w:proofErr w:type="spellEnd"/>
      <w:r>
        <w:t xml:space="preserve"> and </w:t>
      </w:r>
      <w:r>
        <w:rPr>
          <w:i/>
        </w:rPr>
        <w:t>Iqbal</w:t>
      </w:r>
      <w:r>
        <w:t xml:space="preserve"> are only as good as Rule 11 because Murphy could have satisfied the </w:t>
      </w:r>
      <w:proofErr w:type="spellStart"/>
      <w:r>
        <w:rPr>
          <w:i/>
        </w:rPr>
        <w:t>Twiqbal</w:t>
      </w:r>
      <w:proofErr w:type="spellEnd"/>
      <w:r>
        <w:t xml:space="preserve"> standard with his complaint and very detailed allegations. </w:t>
      </w:r>
    </w:p>
    <w:p w:rsidR="00A47AC2" w:rsidRDefault="00A47AC2" w:rsidP="00CA1A2E">
      <w:pPr>
        <w:pStyle w:val="NoteLevel2"/>
        <w:keepNext w:val="0"/>
        <w:widowControl w:val="0"/>
      </w:pPr>
      <w:r>
        <w:t xml:space="preserve">If you are crazy and willing to lie, you can easily satisfy the </w:t>
      </w:r>
      <w:proofErr w:type="spellStart"/>
      <w:r>
        <w:t>Twiqbal</w:t>
      </w:r>
      <w:proofErr w:type="spellEnd"/>
      <w:r>
        <w:t xml:space="preserve"> standard. </w:t>
      </w:r>
    </w:p>
    <w:p w:rsidR="00A47AC2" w:rsidRDefault="00A47AC2" w:rsidP="00CA1A2E">
      <w:pPr>
        <w:pStyle w:val="NoteLevel2"/>
        <w:keepNext w:val="0"/>
        <w:widowControl w:val="0"/>
      </w:pPr>
      <w:r>
        <w:t xml:space="preserve">Another example of how you cannot tell from a complaint alone if the plaintiff has evidence. </w:t>
      </w:r>
    </w:p>
    <w:p w:rsidR="00A47AC2" w:rsidRDefault="00A47AC2" w:rsidP="00CA1A2E">
      <w:pPr>
        <w:pStyle w:val="NoteLevel2"/>
        <w:keepNext w:val="0"/>
        <w:widowControl w:val="0"/>
      </w:pPr>
      <w:r>
        <w:t xml:space="preserve">Green: Does the </w:t>
      </w:r>
      <w:proofErr w:type="spellStart"/>
      <w:r>
        <w:t>Twiqbal</w:t>
      </w:r>
      <w:proofErr w:type="spellEnd"/>
      <w:r>
        <w:t xml:space="preserve"> standard </w:t>
      </w:r>
      <w:r>
        <w:t>have any effect</w:t>
      </w:r>
      <w:r>
        <w:t xml:space="preserve"> or is it useless?</w:t>
      </w:r>
    </w:p>
    <w:p w:rsidR="00A47AC2" w:rsidRDefault="00A47AC2" w:rsidP="00CA1A2E">
      <w:pPr>
        <w:pStyle w:val="NoteLevel3"/>
        <w:keepNext w:val="0"/>
        <w:widowControl w:val="0"/>
      </w:pPr>
      <w:r>
        <w:t>Argument that it is useless</w:t>
      </w:r>
    </w:p>
    <w:p w:rsidR="00A47AC2" w:rsidRDefault="00A47AC2" w:rsidP="00CA1A2E">
      <w:pPr>
        <w:pStyle w:val="NoteLevel4"/>
        <w:keepNext w:val="0"/>
        <w:widowControl w:val="0"/>
      </w:pPr>
      <w:r>
        <w:t xml:space="preserve">If a person does not care about R 11, he can satisfy the </w:t>
      </w:r>
      <w:proofErr w:type="spellStart"/>
      <w:r>
        <w:t>Twiqbal</w:t>
      </w:r>
      <w:proofErr w:type="spellEnd"/>
      <w:r>
        <w:t xml:space="preserve"> standard</w:t>
      </w:r>
    </w:p>
    <w:p w:rsidR="00A47AC2" w:rsidRDefault="00A47AC2" w:rsidP="00CA1A2E">
      <w:pPr>
        <w:pStyle w:val="NoteLevel4"/>
        <w:keepNext w:val="0"/>
        <w:widowControl w:val="0"/>
      </w:pPr>
      <w:proofErr w:type="spellStart"/>
      <w:r>
        <w:t>Twiqbal</w:t>
      </w:r>
      <w:proofErr w:type="spellEnd"/>
      <w:r>
        <w:t xml:space="preserve"> is only as good as the willingness to abide by R 11</w:t>
      </w:r>
    </w:p>
    <w:p w:rsidR="00A47AC2" w:rsidRDefault="00A47AC2" w:rsidP="00CA1A2E">
      <w:pPr>
        <w:pStyle w:val="NoteLevel4"/>
        <w:keepNext w:val="0"/>
        <w:widowControl w:val="0"/>
      </w:pPr>
      <w:r>
        <w:t xml:space="preserve">But if someone is willing to abide by R 11, </w:t>
      </w:r>
      <w:proofErr w:type="spellStart"/>
      <w:r>
        <w:t>Twiqbal</w:t>
      </w:r>
      <w:proofErr w:type="spellEnd"/>
      <w:r>
        <w:t xml:space="preserve"> is unnecessary</w:t>
      </w:r>
    </w:p>
    <w:p w:rsidR="00A47AC2" w:rsidRDefault="00A47AC2" w:rsidP="00CA1A2E">
      <w:pPr>
        <w:pStyle w:val="NoteLevel3"/>
        <w:keepNext w:val="0"/>
        <w:widowControl w:val="0"/>
      </w:pPr>
      <w:r>
        <w:t xml:space="preserve">But </w:t>
      </w:r>
      <w:proofErr w:type="spellStart"/>
      <w:r>
        <w:t>Twiqbal</w:t>
      </w:r>
      <w:proofErr w:type="spellEnd"/>
      <w:r>
        <w:t xml:space="preserve"> is not useless – Pleaders </w:t>
      </w:r>
      <w:r>
        <w:t xml:space="preserve">are more scared </w:t>
      </w:r>
      <w:r>
        <w:t>about</w:t>
      </w:r>
      <w:r>
        <w:t xml:space="preserve"> </w:t>
      </w:r>
      <w:r>
        <w:t xml:space="preserve">violating </w:t>
      </w:r>
      <w:r>
        <w:t xml:space="preserve">Rule 11 </w:t>
      </w:r>
      <w:r>
        <w:t xml:space="preserve">if they have to be specific, under </w:t>
      </w:r>
      <w:proofErr w:type="spellStart"/>
      <w:r>
        <w:t>Twiqbal</w:t>
      </w:r>
      <w:proofErr w:type="spellEnd"/>
    </w:p>
    <w:p w:rsidR="00A47AC2" w:rsidRDefault="00A47AC2" w:rsidP="00CA1A2E">
      <w:pPr>
        <w:pStyle w:val="NoteLevel4"/>
        <w:keepNext w:val="0"/>
        <w:widowControl w:val="0"/>
      </w:pPr>
      <w:r>
        <w:t>Rule 11 is easier to enforce under the</w:t>
      </w:r>
      <w:r>
        <w:t xml:space="preserve"> </w:t>
      </w:r>
      <w:proofErr w:type="spellStart"/>
      <w:r>
        <w:t>Twiqbal</w:t>
      </w:r>
      <w:proofErr w:type="spellEnd"/>
      <w:r>
        <w:t xml:space="preserve"> standard because it will be clearer </w:t>
      </w:r>
      <w:r>
        <w:t xml:space="preserve">that the party has violated Rule 11. </w:t>
      </w:r>
    </w:p>
    <w:p w:rsidR="00A47AC2" w:rsidRDefault="00A47AC2" w:rsidP="00CA1A2E">
      <w:pPr>
        <w:pStyle w:val="NoteLevel3"/>
        <w:keepNext w:val="0"/>
        <w:widowControl w:val="0"/>
      </w:pPr>
      <w:r>
        <w:t xml:space="preserve">Green: </w:t>
      </w:r>
      <w:proofErr w:type="spellStart"/>
      <w:r>
        <w:t>Twiqbal</w:t>
      </w:r>
      <w:proofErr w:type="spellEnd"/>
      <w:r>
        <w:t xml:space="preserve"> has its cost</w:t>
      </w:r>
      <w:r>
        <w:t>s</w:t>
      </w:r>
      <w:r>
        <w:t xml:space="preserve">. Rule 11 gets directly at the problem of cases without evidentiary support. </w:t>
      </w:r>
      <w:proofErr w:type="spellStart"/>
      <w:r>
        <w:t>Twiqbal</w:t>
      </w:r>
      <w:proofErr w:type="spellEnd"/>
      <w:r>
        <w:t xml:space="preserve"> is trying to weed out cases </w:t>
      </w:r>
      <w:r>
        <w:t>on the bases of a more indirect consideration</w:t>
      </w:r>
      <w:r>
        <w:t>—specificity in a complaint</w:t>
      </w:r>
    </w:p>
    <w:p w:rsidR="00A47AC2" w:rsidRDefault="00A47AC2" w:rsidP="00CA1A2E">
      <w:pPr>
        <w:pStyle w:val="NoteLevel3"/>
        <w:keepNext w:val="0"/>
        <w:widowControl w:val="0"/>
        <w:numPr>
          <w:ilvl w:val="0"/>
          <w:numId w:val="0"/>
        </w:numPr>
        <w:tabs>
          <w:tab w:val="left" w:pos="720"/>
        </w:tabs>
        <w:ind w:left="1800"/>
      </w:pPr>
      <w:r>
        <w:lastRenderedPageBreak/>
        <w:t xml:space="preserve">Since </w:t>
      </w:r>
      <w:proofErr w:type="spellStart"/>
      <w:r>
        <w:t>Twiqbal</w:t>
      </w:r>
      <w:proofErr w:type="spellEnd"/>
      <w:r>
        <w:t xml:space="preserve"> the numbers of dismissals have gone up, but the number of cases dismissed </w:t>
      </w:r>
      <w:r>
        <w:t>with prejudice have not gone up</w:t>
      </w:r>
    </w:p>
    <w:p w:rsidR="00A47AC2" w:rsidRDefault="00A47AC2" w:rsidP="00CA1A2E">
      <w:pPr>
        <w:pStyle w:val="NoteLevel3"/>
        <w:keepNext w:val="0"/>
        <w:widowControl w:val="0"/>
        <w:numPr>
          <w:ilvl w:val="0"/>
          <w:numId w:val="0"/>
        </w:numPr>
        <w:tabs>
          <w:tab w:val="left" w:pos="720"/>
        </w:tabs>
        <w:ind w:left="1800" w:hanging="360"/>
      </w:pPr>
      <w:r>
        <w:t xml:space="preserve">Green suggests that </w:t>
      </w:r>
      <w:proofErr w:type="spellStart"/>
      <w:r>
        <w:t>SCt</w:t>
      </w:r>
      <w:proofErr w:type="spellEnd"/>
      <w:r>
        <w:t xml:space="preserve"> was acting unconstitutionally in interpreting 8(a) the way it did in </w:t>
      </w:r>
      <w:proofErr w:type="spellStart"/>
      <w:r>
        <w:t>Twiqbal</w:t>
      </w:r>
      <w:proofErr w:type="spellEnd"/>
    </w:p>
    <w:p w:rsidR="00A47AC2" w:rsidRDefault="00A47AC2" w:rsidP="00CA1A2E">
      <w:pPr>
        <w:pStyle w:val="NoteLevel3"/>
        <w:keepNext w:val="0"/>
        <w:widowControl w:val="0"/>
        <w:numPr>
          <w:ilvl w:val="0"/>
          <w:numId w:val="0"/>
        </w:numPr>
        <w:tabs>
          <w:tab w:val="left" w:pos="720"/>
        </w:tabs>
        <w:ind w:left="1800"/>
      </w:pPr>
      <w:r>
        <w:t xml:space="preserve">But even if that’s so, there is no remedy - </w:t>
      </w:r>
      <w:r>
        <w:t>the Supre</w:t>
      </w:r>
      <w:r w:rsidR="003F0B70">
        <w:t xml:space="preserve">me Court has final authority when interpreting </w:t>
      </w:r>
      <w:r>
        <w:t>Federal Rules of Civil Proc</w:t>
      </w:r>
      <w:r>
        <w:t>edure, it would take an act of C</w:t>
      </w:r>
      <w:r>
        <w:t>ongress to change it.</w:t>
      </w:r>
    </w:p>
    <w:p w:rsidR="00A47AC2" w:rsidRDefault="00A47AC2" w:rsidP="00CA1A2E">
      <w:pPr>
        <w:pStyle w:val="NoteLevel2"/>
        <w:keepNext w:val="0"/>
        <w:widowControl w:val="0"/>
      </w:pPr>
      <w:proofErr w:type="spellStart"/>
      <w:r>
        <w:t>Zarc</w:t>
      </w:r>
      <w:proofErr w:type="spellEnd"/>
      <w:r>
        <w:t xml:space="preserve"> moves for summary judgment, which is granted because there was no shred of evidence that </w:t>
      </w:r>
      <w:r w:rsidR="003F0B70">
        <w:t>the alleged conspiracy existed</w:t>
      </w:r>
    </w:p>
    <w:p w:rsidR="00A47AC2" w:rsidRDefault="00A47AC2" w:rsidP="00CA1A2E">
      <w:pPr>
        <w:pStyle w:val="NoteLevel2"/>
        <w:keepNext w:val="0"/>
        <w:widowControl w:val="0"/>
      </w:pPr>
      <w:proofErr w:type="spellStart"/>
      <w:r>
        <w:t>Zarc</w:t>
      </w:r>
      <w:proofErr w:type="spellEnd"/>
      <w:r>
        <w:t xml:space="preserve"> also alleged that Murphy and attorney violated Rule 11(b</w:t>
      </w:r>
      <w:proofErr w:type="gramStart"/>
      <w:r>
        <w:t>)(</w:t>
      </w:r>
      <w:proofErr w:type="gramEnd"/>
      <w:r>
        <w:t>3) in that their factual contentions lacked evidentiary support and they failed to withdraw their arguments even after it be</w:t>
      </w:r>
      <w:bookmarkStart w:id="0" w:name="_GoBack"/>
      <w:bookmarkEnd w:id="0"/>
      <w:r>
        <w:t xml:space="preserve">came clear that evidence was not materializing. </w:t>
      </w:r>
    </w:p>
    <w:p w:rsidR="00A47AC2" w:rsidRDefault="00A47AC2" w:rsidP="00CA1A2E">
      <w:pPr>
        <w:pStyle w:val="NoteLevel2"/>
        <w:keepNext w:val="0"/>
        <w:widowControl w:val="0"/>
      </w:pPr>
      <w:r>
        <w:t xml:space="preserve">Even if they subsequently </w:t>
      </w:r>
      <w:r w:rsidR="003F0B70">
        <w:t>found</w:t>
      </w:r>
      <w:r>
        <w:t xml:space="preserve"> evidentiary support in the discovery process, </w:t>
      </w:r>
      <w:r w:rsidR="003F0B70">
        <w:t>Murphy’s lawyer would still have violated R 11</w:t>
      </w:r>
      <w:r>
        <w:t xml:space="preserve"> </w:t>
      </w:r>
      <w:r w:rsidR="003F0B70">
        <w:t>because he did not</w:t>
      </w:r>
      <w:r>
        <w:t xml:space="preserve"> have </w:t>
      </w:r>
      <w:r w:rsidR="003F0B70">
        <w:t xml:space="preserve">evidentiary support at the time of the </w:t>
      </w:r>
      <w:r>
        <w:t>s</w:t>
      </w:r>
      <w:r w:rsidR="003F0B70">
        <w:t>igning the complaint and filing</w:t>
      </w:r>
    </w:p>
    <w:p w:rsidR="003F0B70" w:rsidRPr="003F0B70" w:rsidRDefault="003F0B70" w:rsidP="00CA1A2E">
      <w:pPr>
        <w:pStyle w:val="NoteLevel3"/>
        <w:keepNext w:val="0"/>
        <w:widowControl w:val="0"/>
      </w:pPr>
      <w:r>
        <w:t>Could th</w:t>
      </w:r>
      <w:r w:rsidRPr="003F0B70">
        <w:t>ey have relied upon the notion that at the time of filing the factual allegations were “</w:t>
      </w:r>
      <w:r w:rsidRPr="003F0B70">
        <w:rPr>
          <w:color w:val="000000"/>
          <w:szCs w:val="27"/>
        </w:rPr>
        <w:t xml:space="preserve">likely </w:t>
      </w:r>
      <w:r w:rsidRPr="003F0B70">
        <w:rPr>
          <w:color w:val="000000"/>
          <w:szCs w:val="27"/>
        </w:rPr>
        <w:t xml:space="preserve">[to] </w:t>
      </w:r>
      <w:r w:rsidRPr="003F0B70">
        <w:rPr>
          <w:color w:val="000000"/>
          <w:szCs w:val="27"/>
        </w:rPr>
        <w:t>have evidentiary support after a reasonable opportunity for further investiga</w:t>
      </w:r>
      <w:r w:rsidRPr="003F0B70">
        <w:rPr>
          <w:color w:val="000000"/>
          <w:szCs w:val="27"/>
        </w:rPr>
        <w:t xml:space="preserve">tion or discovery”? </w:t>
      </w:r>
    </w:p>
    <w:p w:rsidR="003F0B70" w:rsidRPr="003F0B70" w:rsidRDefault="003F0B70" w:rsidP="00CA1A2E">
      <w:pPr>
        <w:pStyle w:val="NoteLevel3"/>
        <w:keepNext w:val="0"/>
        <w:widowControl w:val="0"/>
      </w:pPr>
      <w:r>
        <w:rPr>
          <w:color w:val="000000"/>
          <w:szCs w:val="27"/>
        </w:rPr>
        <w:t xml:space="preserve">No – did not </w:t>
      </w:r>
      <w:r w:rsidRPr="003F0B70">
        <w:rPr>
          <w:i/>
          <w:color w:val="000000"/>
          <w:szCs w:val="27"/>
        </w:rPr>
        <w:t>specifically identify</w:t>
      </w:r>
      <w:r>
        <w:rPr>
          <w:color w:val="000000"/>
          <w:szCs w:val="27"/>
        </w:rPr>
        <w:t xml:space="preserve"> factual allegations as lacking evidentiary support but likely to have it after discovery</w:t>
      </w:r>
    </w:p>
    <w:p w:rsidR="003F0B70" w:rsidRPr="003F0B70" w:rsidRDefault="003F0B70" w:rsidP="00CA1A2E">
      <w:pPr>
        <w:pStyle w:val="NoteLevel3"/>
        <w:keepNext w:val="0"/>
        <w:widowControl w:val="0"/>
      </w:pPr>
      <w:r>
        <w:rPr>
          <w:color w:val="000000"/>
          <w:szCs w:val="27"/>
        </w:rPr>
        <w:t>Also – even if they had specifically identified the factual allegations, it was not reasonable to believe that there would be evidentiary support</w:t>
      </w:r>
    </w:p>
    <w:p w:rsidR="00A47AC2" w:rsidRPr="003F0B70" w:rsidRDefault="00A47AC2" w:rsidP="00CA1A2E">
      <w:pPr>
        <w:pStyle w:val="NoteLevel2"/>
        <w:keepNext w:val="0"/>
        <w:widowControl w:val="0"/>
      </w:pPr>
      <w:r w:rsidRPr="003F0B70">
        <w:t>Regarding Rule 11(b)(2)- if they prefaced the invocation of the drug statute by the following:</w:t>
      </w:r>
    </w:p>
    <w:p w:rsidR="00A47AC2" w:rsidRDefault="00A47AC2" w:rsidP="00CA1A2E">
      <w:pPr>
        <w:pStyle w:val="NoteLevel3"/>
        <w:keepNext w:val="0"/>
        <w:widowControl w:val="0"/>
      </w:pPr>
      <w:r>
        <w:t>“We would like the law to be extended such that a private right of action should be read into this statute.”</w:t>
      </w:r>
    </w:p>
    <w:p w:rsidR="00A47AC2" w:rsidRDefault="00A47AC2" w:rsidP="00CA1A2E">
      <w:pPr>
        <w:pStyle w:val="NoteLevel4"/>
        <w:keepNext w:val="0"/>
        <w:widowControl w:val="0"/>
      </w:pPr>
      <w:r>
        <w:t xml:space="preserve">This would not </w:t>
      </w:r>
      <w:r w:rsidR="003F0B70">
        <w:t>satisfy</w:t>
      </w:r>
      <w:r>
        <w:t xml:space="preserve"> Rule 11 if there wasn’t a non-frivolous argument for the drug statute’s having a private right of action.</w:t>
      </w:r>
    </w:p>
    <w:p w:rsidR="003D0220" w:rsidRDefault="003D0220" w:rsidP="00CA1A2E">
      <w:pPr>
        <w:pStyle w:val="NoteLevel3"/>
        <w:keepNext w:val="0"/>
        <w:widowControl w:val="0"/>
      </w:pPr>
      <w:r>
        <w:t>Note that this provision is not used as much as (b)(3) and (b)(4) – we do not wish to</w:t>
      </w:r>
      <w:r>
        <w:t xml:space="preserve"> punish ‘creative argumentation’</w:t>
      </w:r>
    </w:p>
    <w:p w:rsidR="003D0220" w:rsidRDefault="003D0220" w:rsidP="00CA1A2E">
      <w:pPr>
        <w:pStyle w:val="NoteLevel4"/>
        <w:keepNext w:val="0"/>
        <w:widowControl w:val="0"/>
      </w:pPr>
      <w:r>
        <w:t>Also the costs of frivolous legal arguments are less than the costs of frivolous factual allegations</w:t>
      </w:r>
    </w:p>
    <w:p w:rsidR="003D0220" w:rsidRDefault="003D0220" w:rsidP="00CA1A2E">
      <w:pPr>
        <w:pStyle w:val="NoteLevel4"/>
        <w:keepNext w:val="0"/>
        <w:widowControl w:val="0"/>
      </w:pPr>
      <w:r>
        <w:t>Courts can generally sniff out the frivolous legal arguments on the basis of what they know about the law</w:t>
      </w:r>
    </w:p>
    <w:p w:rsidR="003D0220" w:rsidRDefault="003D0220" w:rsidP="00CA1A2E">
      <w:pPr>
        <w:pStyle w:val="NoteLevel4"/>
        <w:keepNext w:val="0"/>
        <w:widowControl w:val="0"/>
      </w:pPr>
      <w:r>
        <w:t>It is much harder to identify frivolous factual allegations</w:t>
      </w:r>
    </w:p>
    <w:p w:rsidR="00A47AC2" w:rsidRDefault="00A47AC2" w:rsidP="00CA1A2E">
      <w:pPr>
        <w:pStyle w:val="NoteLevel3"/>
        <w:keepNext w:val="0"/>
        <w:widowControl w:val="0"/>
      </w:pPr>
      <w:r>
        <w:t xml:space="preserve">What happens if the there is a non-frivolous argument for the drug statute’s having a private right of action, but it is never </w:t>
      </w:r>
      <w:r>
        <w:lastRenderedPageBreak/>
        <w:t xml:space="preserve">employed by the </w:t>
      </w:r>
      <w:proofErr w:type="gramStart"/>
      <w:r>
        <w:t>plaintiff.</w:t>
      </w:r>
      <w:proofErr w:type="gramEnd"/>
    </w:p>
    <w:p w:rsidR="00A47AC2" w:rsidRDefault="00A47AC2" w:rsidP="00CA1A2E">
      <w:pPr>
        <w:pStyle w:val="NoteLevel4"/>
        <w:keepNext w:val="0"/>
        <w:widowControl w:val="0"/>
      </w:pPr>
      <w:r>
        <w:t xml:space="preserve">Was </w:t>
      </w:r>
      <w:proofErr w:type="gramStart"/>
      <w:r>
        <w:t>R11(</w:t>
      </w:r>
      <w:proofErr w:type="gramEnd"/>
      <w:r>
        <w:t>b)(2) violate?</w:t>
      </w:r>
    </w:p>
    <w:p w:rsidR="00A47AC2" w:rsidRDefault="00A47AC2" w:rsidP="00CA1A2E">
      <w:pPr>
        <w:pStyle w:val="NoteLevel5"/>
        <w:keepNext w:val="0"/>
        <w:widowControl w:val="0"/>
      </w:pPr>
      <w:r>
        <w:t>It is not important that you actually mention the argument if you had it from the beginning</w:t>
      </w:r>
    </w:p>
    <w:p w:rsidR="003F0B70" w:rsidRDefault="003F0B70" w:rsidP="00CA1A2E">
      <w:pPr>
        <w:pStyle w:val="NoteLevel5"/>
        <w:keepNext w:val="0"/>
        <w:widowControl w:val="0"/>
        <w:numPr>
          <w:ilvl w:val="0"/>
          <w:numId w:val="0"/>
        </w:numPr>
        <w:ind w:left="3240" w:hanging="360"/>
      </w:pPr>
    </w:p>
    <w:p w:rsidR="00A47AC2" w:rsidRDefault="00A47AC2" w:rsidP="00CA1A2E">
      <w:pPr>
        <w:pStyle w:val="NoteLevel1"/>
        <w:keepNext w:val="0"/>
        <w:widowControl w:val="0"/>
      </w:pPr>
    </w:p>
    <w:p w:rsidR="00A47AC2" w:rsidRDefault="00A47AC2" w:rsidP="00CA1A2E">
      <w:pPr>
        <w:pStyle w:val="NoteLevel2"/>
        <w:keepNext w:val="0"/>
        <w:widowControl w:val="0"/>
      </w:pPr>
      <w:r>
        <w:rPr>
          <w:b/>
        </w:rPr>
        <w:t>Hypo</w:t>
      </w:r>
      <w:r>
        <w:t xml:space="preserve">: Assume that murphy has a letter from a </w:t>
      </w:r>
      <w:proofErr w:type="spellStart"/>
      <w:r>
        <w:t>Zarc</w:t>
      </w:r>
      <w:proofErr w:type="spellEnd"/>
      <w:r>
        <w:t xml:space="preserve"> employee stating that he heard </w:t>
      </w:r>
      <w:proofErr w:type="spellStart"/>
      <w:r>
        <w:t>Zarc’s</w:t>
      </w:r>
      <w:proofErr w:type="spellEnd"/>
      <w:r>
        <w:t xml:space="preserve"> CEO and Mario Cuomo agree to test the pepper spray on innocents</w:t>
      </w:r>
    </w:p>
    <w:p w:rsidR="00A47AC2" w:rsidRDefault="00A47AC2" w:rsidP="00CA1A2E">
      <w:pPr>
        <w:pStyle w:val="NoteLevel3"/>
        <w:keepNext w:val="0"/>
        <w:widowControl w:val="0"/>
      </w:pPr>
      <w:r>
        <w:t>The content of the letter is, however, hearsay and so inadmissible at trial</w:t>
      </w:r>
    </w:p>
    <w:p w:rsidR="00A47AC2" w:rsidRDefault="00A47AC2" w:rsidP="00CA1A2E">
      <w:pPr>
        <w:pStyle w:val="NoteLevel3"/>
        <w:keepNext w:val="0"/>
        <w:widowControl w:val="0"/>
      </w:pPr>
      <w:r>
        <w:t>Has R 11(b</w:t>
      </w:r>
      <w:proofErr w:type="gramStart"/>
      <w:r>
        <w:t>)(</w:t>
      </w:r>
      <w:proofErr w:type="gramEnd"/>
      <w:r>
        <w:t>3) been satisfied?</w:t>
      </w:r>
    </w:p>
    <w:p w:rsidR="00A47AC2" w:rsidRDefault="00A47AC2" w:rsidP="00CA1A2E">
      <w:pPr>
        <w:pStyle w:val="NoteLevel4"/>
        <w:keepNext w:val="0"/>
        <w:widowControl w:val="0"/>
      </w:pPr>
      <w:r>
        <w:t>Yes, it does not have to be admissible at trial. Counts as evidentiary support under Rule 11</w:t>
      </w:r>
    </w:p>
    <w:p w:rsidR="00A47AC2" w:rsidRDefault="00A47AC2" w:rsidP="00CA1A2E">
      <w:pPr>
        <w:pStyle w:val="NoteLevel4"/>
        <w:keepNext w:val="0"/>
        <w:widowControl w:val="0"/>
      </w:pPr>
      <w:r>
        <w:t xml:space="preserve">They just expect something. It does not have to be much </w:t>
      </w:r>
    </w:p>
    <w:p w:rsidR="00A47AC2" w:rsidRDefault="00A47AC2" w:rsidP="00CA1A2E">
      <w:pPr>
        <w:pStyle w:val="NoteLevel2"/>
        <w:keepNext w:val="0"/>
        <w:widowControl w:val="0"/>
      </w:pPr>
      <w:r>
        <w:rPr>
          <w:b/>
        </w:rPr>
        <w:t xml:space="preserve">Hypo: </w:t>
      </w:r>
      <w:r>
        <w:t xml:space="preserve">Assume that 60% of those who were sprayed were subsequently acquitted of the charges against them, a number that is much higher </w:t>
      </w:r>
      <w:proofErr w:type="spellStart"/>
      <w:r>
        <w:t>that</w:t>
      </w:r>
      <w:proofErr w:type="spellEnd"/>
      <w:r>
        <w:t xml:space="preserve"> the normal percentage of those arrested who are acquitted.</w:t>
      </w:r>
    </w:p>
    <w:p w:rsidR="00A47AC2" w:rsidRDefault="00A47AC2" w:rsidP="00CA1A2E">
      <w:pPr>
        <w:pStyle w:val="NoteLevel3"/>
        <w:keepNext w:val="0"/>
        <w:widowControl w:val="0"/>
      </w:pPr>
      <w:r>
        <w:t>This is evidence that NY officials wished to test the pepper spray on innocents. It is not, however, sufficient evidence to withstand a motion for summary judgment</w:t>
      </w:r>
    </w:p>
    <w:p w:rsidR="00A47AC2" w:rsidRDefault="00A47AC2" w:rsidP="00CA1A2E">
      <w:pPr>
        <w:pStyle w:val="NoteLevel3"/>
        <w:keepNext w:val="0"/>
        <w:widowControl w:val="0"/>
      </w:pPr>
      <w:r>
        <w:t xml:space="preserve">Is there sufficient evidentiary support for the allegations against NY officials for </w:t>
      </w:r>
      <w:proofErr w:type="gramStart"/>
      <w:r>
        <w:t>R11(</w:t>
      </w:r>
      <w:proofErr w:type="gramEnd"/>
      <w:r>
        <w:t>b)(3) to be satisfied?</w:t>
      </w:r>
    </w:p>
    <w:p w:rsidR="00A47AC2" w:rsidRDefault="00A47AC2" w:rsidP="00CA1A2E">
      <w:pPr>
        <w:pStyle w:val="NoteLevel4"/>
        <w:keepNext w:val="0"/>
        <w:widowControl w:val="0"/>
      </w:pPr>
      <w:r>
        <w:t xml:space="preserve">Yes there is </w:t>
      </w:r>
      <w:r w:rsidR="003F0B70">
        <w:t xml:space="preserve">probably </w:t>
      </w:r>
      <w:r>
        <w:t xml:space="preserve">enough evidentiary support. The evidentiary support does not have to </w:t>
      </w:r>
      <w:r w:rsidR="003F0B70">
        <w:t xml:space="preserve">be sufficient to </w:t>
      </w:r>
      <w:r>
        <w:t>withstand a</w:t>
      </w:r>
      <w:r>
        <w:t xml:space="preserve"> </w:t>
      </w:r>
      <w:r w:rsidR="003F0B70">
        <w:t>motion for summary judgment or a directed verdict – it does not have to be enough such that a reasonable jury could find in favor of the pleader</w:t>
      </w:r>
    </w:p>
    <w:p w:rsidR="00A47AC2" w:rsidRDefault="00A47AC2" w:rsidP="00CA1A2E">
      <w:pPr>
        <w:pStyle w:val="NoteLevel4"/>
        <w:keepNext w:val="0"/>
        <w:widowControl w:val="0"/>
        <w:numPr>
          <w:ilvl w:val="0"/>
          <w:numId w:val="0"/>
        </w:numPr>
        <w:ind w:left="2160" w:firstLine="360"/>
      </w:pPr>
    </w:p>
    <w:p w:rsidR="00A47AC2" w:rsidRDefault="00A47AC2" w:rsidP="00CA1A2E">
      <w:pPr>
        <w:pStyle w:val="NoteLevel2"/>
        <w:keepNext w:val="0"/>
        <w:widowControl w:val="0"/>
      </w:pPr>
      <w:r>
        <w:t>The R</w:t>
      </w:r>
      <w:r w:rsidR="003F0B70">
        <w:t>ule 11 standard is so ambiguous (and generous to the pleader)</w:t>
      </w:r>
      <w:r>
        <w:t xml:space="preserve"> the court is unlikely to sanction attorneys</w:t>
      </w:r>
    </w:p>
    <w:p w:rsidR="00A47AC2" w:rsidRDefault="003F0B70" w:rsidP="00CA1A2E">
      <w:pPr>
        <w:pStyle w:val="NoteLevel2"/>
        <w:keepNext w:val="0"/>
        <w:widowControl w:val="0"/>
      </w:pPr>
      <w:r>
        <w:t xml:space="preserve">Perhaps the best thing to do is what </w:t>
      </w:r>
      <w:r w:rsidR="00A47AC2">
        <w:t xml:space="preserve">Congress imposed </w:t>
      </w:r>
      <w:r>
        <w:t xml:space="preserve">for certain  securities action – a mandatory hearing during the pleading stage (that is, before discovery) to see whether the plaintiff has sufficient evidentiary support to proceed </w:t>
      </w:r>
      <w:r w:rsidR="005E2545">
        <w:t>–</w:t>
      </w:r>
      <w:r>
        <w:t xml:space="preserve"> </w:t>
      </w:r>
    </w:p>
    <w:p w:rsidR="005E2545" w:rsidRDefault="005E2545" w:rsidP="00CA1A2E">
      <w:pPr>
        <w:pStyle w:val="NoteLevel2"/>
        <w:keepNext w:val="0"/>
        <w:widowControl w:val="0"/>
      </w:pPr>
      <w:r>
        <w:t>Superior to current Rule 11 approach</w:t>
      </w:r>
    </w:p>
    <w:p w:rsidR="005E2545" w:rsidRDefault="005E2545" w:rsidP="00CA1A2E">
      <w:pPr>
        <w:pStyle w:val="NoteLevel3"/>
        <w:keepNext w:val="0"/>
        <w:widowControl w:val="0"/>
      </w:pPr>
      <w:r>
        <w:t>1) because the proceeding will happen before discovery (usually R 11 proceedings are brought only after discovery)</w:t>
      </w:r>
    </w:p>
    <w:p w:rsidR="005E2545" w:rsidRDefault="005E2545" w:rsidP="00CA1A2E">
      <w:pPr>
        <w:pStyle w:val="NoteLevel3"/>
        <w:keepNext w:val="0"/>
        <w:widowControl w:val="0"/>
      </w:pPr>
      <w:r>
        <w:t>and 2) because the result of failure is usually not sanctions, but simply dismissing the action (usually without prejudice)</w:t>
      </w:r>
    </w:p>
    <w:p w:rsidR="005E2545" w:rsidRDefault="005E2545" w:rsidP="00CA1A2E">
      <w:pPr>
        <w:pStyle w:val="NoteLevel4"/>
        <w:keepNext w:val="0"/>
        <w:widowControl w:val="0"/>
      </w:pPr>
      <w:r>
        <w:t>courts are less inclined to sanction attorneys than to dismiss</w:t>
      </w:r>
    </w:p>
    <w:p w:rsidR="005E2545" w:rsidRDefault="005E2545" w:rsidP="00CA1A2E">
      <w:pPr>
        <w:pStyle w:val="NoteLevel3"/>
        <w:keepNext w:val="0"/>
        <w:widowControl w:val="0"/>
      </w:pPr>
      <w:r>
        <w:lastRenderedPageBreak/>
        <w:t xml:space="preserve">1) and 2) make the approach like </w:t>
      </w:r>
      <w:proofErr w:type="spellStart"/>
      <w:r>
        <w:t>Twiqbal</w:t>
      </w:r>
      <w:proofErr w:type="spellEnd"/>
    </w:p>
    <w:p w:rsidR="005E2545" w:rsidRDefault="005E2545" w:rsidP="00CA1A2E">
      <w:pPr>
        <w:pStyle w:val="NoteLevel2"/>
        <w:keepNext w:val="0"/>
        <w:widowControl w:val="0"/>
      </w:pPr>
      <w:r>
        <w:t xml:space="preserve">Superior to </w:t>
      </w:r>
      <w:proofErr w:type="spellStart"/>
      <w:r>
        <w:t>Twiqbal</w:t>
      </w:r>
      <w:proofErr w:type="spellEnd"/>
      <w:r>
        <w:t xml:space="preserve"> because</w:t>
      </w:r>
    </w:p>
    <w:p w:rsidR="005E2545" w:rsidRDefault="005E2545" w:rsidP="00CA1A2E">
      <w:pPr>
        <w:pStyle w:val="NoteLevel3"/>
        <w:keepNext w:val="0"/>
        <w:widowControl w:val="0"/>
      </w:pPr>
      <w:r>
        <w:t>The standard used for dismissal is directed at the actual problem – is there enough evidence to justify going forward into discovery</w:t>
      </w:r>
    </w:p>
    <w:p w:rsidR="005E2545" w:rsidRDefault="005E2545" w:rsidP="00CA1A2E">
      <w:pPr>
        <w:pStyle w:val="NoteLevel3"/>
        <w:keepNext w:val="0"/>
        <w:widowControl w:val="0"/>
      </w:pPr>
      <w:proofErr w:type="spellStart"/>
      <w:r>
        <w:t>Twiqbal</w:t>
      </w:r>
      <w:proofErr w:type="spellEnd"/>
      <w:r>
        <w:t>, in contrast, approaches the issue formalistically, on the basis of the words in the plaintiff’s complaint</w:t>
      </w:r>
    </w:p>
    <w:p w:rsidR="00A47AC2" w:rsidRDefault="00A47AC2" w:rsidP="00CA1A2E">
      <w:pPr>
        <w:pStyle w:val="NoteLevel1"/>
        <w:keepNext w:val="0"/>
        <w:widowControl w:val="0"/>
      </w:pPr>
    </w:p>
    <w:p w:rsidR="00A47AC2" w:rsidRDefault="00A47AC2" w:rsidP="00CA1A2E">
      <w:pPr>
        <w:pStyle w:val="NoteLevel1"/>
        <w:keepNext w:val="0"/>
        <w:widowControl w:val="0"/>
      </w:pPr>
      <w:r>
        <w:t>Who can be sanctioned under Rule 11?</w:t>
      </w:r>
    </w:p>
    <w:p w:rsidR="00A47AC2" w:rsidRDefault="00A47AC2" w:rsidP="00CA1A2E">
      <w:pPr>
        <w:pStyle w:val="NoteLevel2"/>
        <w:keepNext w:val="0"/>
        <w:widowControl w:val="0"/>
      </w:pPr>
      <w:r>
        <w:t xml:space="preserve">The primary violator </w:t>
      </w:r>
      <w:r w:rsidR="003D0220">
        <w:t>is the signer and the advocator of the pleading – that is the person who makes the representation that was false</w:t>
      </w:r>
    </w:p>
    <w:p w:rsidR="003D0220" w:rsidRDefault="003D0220" w:rsidP="00CA1A2E">
      <w:pPr>
        <w:pStyle w:val="NoteLevel2"/>
        <w:keepNext w:val="0"/>
        <w:widowControl w:val="0"/>
      </w:pPr>
      <w:r>
        <w:t>This is the attorney or, if the party is litigates pro se, the party</w:t>
      </w:r>
    </w:p>
    <w:p w:rsidR="003D0220" w:rsidRDefault="003D0220" w:rsidP="00CA1A2E">
      <w:pPr>
        <w:pStyle w:val="NoteLevel2"/>
        <w:keepNext w:val="0"/>
        <w:widowControl w:val="0"/>
      </w:pPr>
      <w:r>
        <w:t>the law firm can be sanctioned for the R 11 violations of a member of the firm</w:t>
      </w:r>
    </w:p>
    <w:p w:rsidR="00A47AC2" w:rsidRDefault="003D0220" w:rsidP="00CA1A2E">
      <w:pPr>
        <w:pStyle w:val="NoteLevel2"/>
        <w:keepNext w:val="0"/>
        <w:widowControl w:val="0"/>
      </w:pPr>
      <w:r>
        <w:t xml:space="preserve">in addition, anyone else “responsible” for the violation can also be sanctioned – can include the </w:t>
      </w:r>
      <w:r w:rsidR="00A47AC2">
        <w:t xml:space="preserve">client </w:t>
      </w:r>
    </w:p>
    <w:p w:rsidR="00A47AC2" w:rsidRDefault="00A47AC2" w:rsidP="00CA1A2E">
      <w:pPr>
        <w:pStyle w:val="NoteLevel3"/>
        <w:keepNext w:val="0"/>
        <w:widowControl w:val="0"/>
        <w:numPr>
          <w:ilvl w:val="0"/>
          <w:numId w:val="0"/>
        </w:numPr>
        <w:tabs>
          <w:tab w:val="left" w:pos="720"/>
        </w:tabs>
        <w:ind w:left="1800"/>
        <w:rPr>
          <w:b/>
        </w:rPr>
      </w:pPr>
    </w:p>
    <w:p w:rsidR="00A47AC2" w:rsidRDefault="00A47AC2" w:rsidP="00CA1A2E">
      <w:pPr>
        <w:pStyle w:val="NoteLevel2"/>
        <w:keepNext w:val="0"/>
        <w:widowControl w:val="0"/>
        <w:rPr>
          <w:b/>
        </w:rPr>
      </w:pPr>
      <w:r>
        <w:rPr>
          <w:b/>
        </w:rPr>
        <w:t xml:space="preserve">Hypo: </w:t>
      </w:r>
      <w:r>
        <w:t xml:space="preserve">Murphy told </w:t>
      </w:r>
      <w:proofErr w:type="spellStart"/>
      <w:r>
        <w:t>Ballan</w:t>
      </w:r>
      <w:proofErr w:type="spellEnd"/>
      <w:r>
        <w:t xml:space="preserve"> that </w:t>
      </w:r>
      <w:proofErr w:type="spellStart"/>
      <w:r>
        <w:t>Zarc</w:t>
      </w:r>
      <w:proofErr w:type="spellEnd"/>
      <w:r>
        <w:t xml:space="preserve"> had participated in the study to test the effect of the pepper spray on innocent people.</w:t>
      </w:r>
    </w:p>
    <w:p w:rsidR="00A47AC2" w:rsidRDefault="00A47AC2" w:rsidP="00CA1A2E">
      <w:pPr>
        <w:pStyle w:val="NoteLevel3"/>
        <w:keepNext w:val="0"/>
        <w:widowControl w:val="0"/>
        <w:rPr>
          <w:b/>
        </w:rPr>
      </w:pPr>
      <w:r>
        <w:t xml:space="preserve">May </w:t>
      </w:r>
      <w:proofErr w:type="spellStart"/>
      <w:r>
        <w:t>Ballan</w:t>
      </w:r>
      <w:proofErr w:type="spellEnd"/>
      <w:r>
        <w:t xml:space="preserve"> be sanctioned under Rule 11?</w:t>
      </w:r>
    </w:p>
    <w:p w:rsidR="00A47AC2" w:rsidRDefault="00A47AC2" w:rsidP="00CA1A2E">
      <w:pPr>
        <w:pStyle w:val="NoteLevel4"/>
        <w:keepNext w:val="0"/>
        <w:widowControl w:val="0"/>
        <w:rPr>
          <w:b/>
        </w:rPr>
      </w:pPr>
      <w:r>
        <w:t xml:space="preserve">If it was reasonable and the client is a witness, </w:t>
      </w:r>
      <w:proofErr w:type="spellStart"/>
      <w:r>
        <w:t>Ballan</w:t>
      </w:r>
      <w:proofErr w:type="spellEnd"/>
      <w:r>
        <w:t xml:space="preserve"> should not be sanctioned. </w:t>
      </w:r>
    </w:p>
    <w:p w:rsidR="00A47AC2" w:rsidRDefault="00A47AC2" w:rsidP="00CA1A2E">
      <w:pPr>
        <w:pStyle w:val="NoteLevel4"/>
        <w:keepNext w:val="0"/>
        <w:widowControl w:val="0"/>
        <w:rPr>
          <w:b/>
        </w:rPr>
      </w:pPr>
      <w:r>
        <w:t xml:space="preserve">If it is unreasonable to believe the client and </w:t>
      </w:r>
      <w:proofErr w:type="spellStart"/>
      <w:r>
        <w:t>Ballan</w:t>
      </w:r>
      <w:proofErr w:type="spellEnd"/>
      <w:r>
        <w:t xml:space="preserve"> drafts the complaint anyway, he can be sanctioned</w:t>
      </w:r>
    </w:p>
    <w:p w:rsidR="00A47AC2" w:rsidRDefault="003D0220" w:rsidP="00CA1A2E">
      <w:pPr>
        <w:pStyle w:val="NoteLevel3"/>
        <w:keepNext w:val="0"/>
        <w:widowControl w:val="0"/>
        <w:rPr>
          <w:b/>
        </w:rPr>
      </w:pPr>
      <w:r>
        <w:t xml:space="preserve">If </w:t>
      </w:r>
      <w:proofErr w:type="spellStart"/>
      <w:r>
        <w:t>Ballan</w:t>
      </w:r>
      <w:proofErr w:type="spellEnd"/>
      <w:r>
        <w:t xml:space="preserve"> may be sanctioned, m</w:t>
      </w:r>
      <w:r w:rsidR="00A47AC2">
        <w:t xml:space="preserve">ay Murphy be sanctioned </w:t>
      </w:r>
      <w:r>
        <w:t xml:space="preserve">too </w:t>
      </w:r>
      <w:r w:rsidR="00A47AC2">
        <w:t>under R.11?</w:t>
      </w:r>
    </w:p>
    <w:p w:rsidR="00A47AC2" w:rsidRDefault="00A47AC2" w:rsidP="00CA1A2E">
      <w:pPr>
        <w:pStyle w:val="NoteLevel4"/>
        <w:keepNext w:val="0"/>
        <w:widowControl w:val="0"/>
        <w:rPr>
          <w:b/>
        </w:rPr>
      </w:pPr>
      <w:r>
        <w:t xml:space="preserve">Yes he can </w:t>
      </w:r>
      <w:r w:rsidR="003D0220">
        <w:t>– responsible for the violations</w:t>
      </w:r>
    </w:p>
    <w:p w:rsidR="00A47AC2" w:rsidRDefault="00A47AC2" w:rsidP="00CA1A2E">
      <w:pPr>
        <w:pStyle w:val="NoteLevel3"/>
        <w:keepNext w:val="0"/>
        <w:widowControl w:val="0"/>
        <w:numPr>
          <w:ilvl w:val="0"/>
          <w:numId w:val="0"/>
        </w:numPr>
        <w:tabs>
          <w:tab w:val="left" w:pos="720"/>
        </w:tabs>
        <w:ind w:left="1800"/>
        <w:rPr>
          <w:b/>
        </w:rPr>
      </w:pPr>
    </w:p>
    <w:p w:rsidR="00A47AC2" w:rsidRDefault="00A47AC2" w:rsidP="00CA1A2E">
      <w:pPr>
        <w:pStyle w:val="NoteLevel2"/>
        <w:keepNext w:val="0"/>
        <w:widowControl w:val="0"/>
        <w:rPr>
          <w:b/>
        </w:rPr>
      </w:pPr>
      <w:r>
        <w:rPr>
          <w:b/>
        </w:rPr>
        <w:t>Hypo:</w:t>
      </w:r>
      <w:r w:rsidR="003D0220">
        <w:t xml:space="preserve"> Murphy giv</w:t>
      </w:r>
      <w:r>
        <w:t xml:space="preserve">es </w:t>
      </w:r>
      <w:proofErr w:type="spellStart"/>
      <w:r>
        <w:t>Ballan</w:t>
      </w:r>
      <w:proofErr w:type="spellEnd"/>
      <w:r>
        <w:t xml:space="preserve"> a fabricated document that looks like evidence that </w:t>
      </w:r>
      <w:proofErr w:type="spellStart"/>
      <w:r>
        <w:t>Zarc</w:t>
      </w:r>
      <w:proofErr w:type="spellEnd"/>
      <w:r>
        <w:t xml:space="preserve"> participated in a study to test the pepper spray on innocents.</w:t>
      </w:r>
    </w:p>
    <w:p w:rsidR="00A47AC2" w:rsidRDefault="00A47AC2" w:rsidP="00CA1A2E">
      <w:pPr>
        <w:pStyle w:val="NoteLevel3"/>
        <w:keepNext w:val="0"/>
        <w:widowControl w:val="0"/>
        <w:rPr>
          <w:b/>
        </w:rPr>
      </w:pPr>
      <w:r>
        <w:rPr>
          <w:b/>
        </w:rPr>
        <w:t xml:space="preserve">May </w:t>
      </w:r>
      <w:proofErr w:type="spellStart"/>
      <w:r>
        <w:rPr>
          <w:b/>
        </w:rPr>
        <w:t>Ballan</w:t>
      </w:r>
      <w:proofErr w:type="spellEnd"/>
      <w:r>
        <w:rPr>
          <w:b/>
        </w:rPr>
        <w:t xml:space="preserve"> be sanctioned under Rule 11?</w:t>
      </w:r>
    </w:p>
    <w:p w:rsidR="00A47AC2" w:rsidRDefault="00A47AC2" w:rsidP="00CA1A2E">
      <w:pPr>
        <w:pStyle w:val="NoteLevel4"/>
        <w:keepNext w:val="0"/>
        <w:widowControl w:val="0"/>
      </w:pPr>
      <w:r>
        <w:t>No, he had a reasonable belief that the document was legitimate and there was a cause of action</w:t>
      </w:r>
    </w:p>
    <w:p w:rsidR="00A47AC2" w:rsidRDefault="00A47AC2" w:rsidP="00CA1A2E">
      <w:pPr>
        <w:pStyle w:val="NoteLevel3"/>
        <w:keepNext w:val="0"/>
        <w:widowControl w:val="0"/>
        <w:rPr>
          <w:b/>
        </w:rPr>
      </w:pPr>
      <w:r>
        <w:rPr>
          <w:b/>
        </w:rPr>
        <w:t>May Murphy be sanctioned under Rule 11?</w:t>
      </w:r>
    </w:p>
    <w:p w:rsidR="00A47AC2" w:rsidRPr="003D0220" w:rsidRDefault="00A47AC2" w:rsidP="00CA1A2E">
      <w:pPr>
        <w:pStyle w:val="NoteLevel4"/>
        <w:keepNext w:val="0"/>
        <w:widowControl w:val="0"/>
        <w:rPr>
          <w:b/>
        </w:rPr>
      </w:pPr>
      <w:r>
        <w:t>No, he cannot be sanctioned under Rule 11 because there was no violation of Rule 11</w:t>
      </w:r>
      <w:r w:rsidR="003D0220">
        <w:t xml:space="preserve"> by </w:t>
      </w:r>
      <w:proofErr w:type="spellStart"/>
      <w:r w:rsidR="003D0220">
        <w:t>Ballan</w:t>
      </w:r>
      <w:proofErr w:type="spellEnd"/>
      <w:r w:rsidR="003D0220">
        <w:t xml:space="preserve"> – so not responsible for a violation</w:t>
      </w:r>
    </w:p>
    <w:p w:rsidR="003D0220" w:rsidRDefault="003D0220" w:rsidP="00CA1A2E">
      <w:pPr>
        <w:pStyle w:val="NoteLevel4"/>
        <w:keepNext w:val="0"/>
        <w:widowControl w:val="0"/>
        <w:rPr>
          <w:b/>
        </w:rPr>
      </w:pPr>
      <w:r>
        <w:t>BUT courts have inherent powers to sanction outside R 11 – that would be used against Murphy</w:t>
      </w:r>
    </w:p>
    <w:p w:rsidR="00A47AC2" w:rsidRDefault="00A47AC2" w:rsidP="00CA1A2E">
      <w:pPr>
        <w:pStyle w:val="NoteLevel2"/>
        <w:keepNext w:val="0"/>
        <w:widowControl w:val="0"/>
        <w:numPr>
          <w:ilvl w:val="0"/>
          <w:numId w:val="0"/>
        </w:numPr>
        <w:tabs>
          <w:tab w:val="left" w:pos="720"/>
        </w:tabs>
        <w:ind w:left="1080"/>
        <w:rPr>
          <w:b/>
        </w:rPr>
      </w:pPr>
    </w:p>
    <w:p w:rsidR="00A47AC2" w:rsidRDefault="00A47AC2" w:rsidP="00CA1A2E">
      <w:pPr>
        <w:pStyle w:val="NoteLevel2"/>
        <w:keepNext w:val="0"/>
        <w:widowControl w:val="0"/>
        <w:rPr>
          <w:b/>
        </w:rPr>
      </w:pPr>
      <w:r>
        <w:rPr>
          <w:b/>
        </w:rPr>
        <w:t>Hypo</w:t>
      </w:r>
      <w:r>
        <w:t>: Murphy came up with the drug statute argument, can he be required to pay for the other side’s costs in responding?</w:t>
      </w:r>
    </w:p>
    <w:p w:rsidR="00A47AC2" w:rsidRDefault="00A47AC2" w:rsidP="00CA1A2E">
      <w:pPr>
        <w:pStyle w:val="NoteLevel3"/>
        <w:keepNext w:val="0"/>
        <w:widowControl w:val="0"/>
      </w:pPr>
      <w:r>
        <w:t xml:space="preserve">A court must not impose a monetary sanction against a </w:t>
      </w:r>
      <w:r>
        <w:lastRenderedPageBreak/>
        <w:t>represented party for violating Rule 11(b)(2)</w:t>
      </w:r>
    </w:p>
    <w:p w:rsidR="003D0220" w:rsidRDefault="003D0220" w:rsidP="00CA1A2E">
      <w:pPr>
        <w:pStyle w:val="NoteLevel3"/>
        <w:keepNext w:val="0"/>
        <w:widowControl w:val="0"/>
      </w:pPr>
      <w:r>
        <w:t xml:space="preserve">Idea is that </w:t>
      </w:r>
      <w:r w:rsidR="00CA1A2E">
        <w:t>lawyer is the one who should be held responsible for legal arguments</w:t>
      </w:r>
    </w:p>
    <w:p w:rsidR="00A47AC2" w:rsidRDefault="00A47AC2" w:rsidP="00CA1A2E">
      <w:pPr>
        <w:pStyle w:val="NoteLevel1"/>
        <w:keepNext w:val="0"/>
        <w:widowControl w:val="0"/>
        <w:numPr>
          <w:ilvl w:val="0"/>
          <w:numId w:val="0"/>
        </w:numPr>
        <w:tabs>
          <w:tab w:val="left" w:pos="720"/>
        </w:tabs>
      </w:pPr>
    </w:p>
    <w:p w:rsidR="00A47AC2" w:rsidRDefault="00A47AC2" w:rsidP="00CA1A2E">
      <w:pPr>
        <w:pStyle w:val="NoteLevel1"/>
        <w:keepNext w:val="0"/>
        <w:widowControl w:val="0"/>
      </w:pPr>
      <w:r>
        <w:t>Types of sanctions under Rule 11</w:t>
      </w:r>
    </w:p>
    <w:p w:rsidR="00A47AC2" w:rsidRDefault="00A47AC2" w:rsidP="00CA1A2E">
      <w:pPr>
        <w:pStyle w:val="NoteLevel2"/>
        <w:keepNext w:val="0"/>
        <w:widowControl w:val="0"/>
      </w:pPr>
      <w:r>
        <w:t>Sometimes the money goes to the court</w:t>
      </w:r>
    </w:p>
    <w:p w:rsidR="00A47AC2" w:rsidRDefault="00A47AC2" w:rsidP="00CA1A2E">
      <w:pPr>
        <w:pStyle w:val="NoteLevel2"/>
        <w:keepNext w:val="0"/>
        <w:widowControl w:val="0"/>
      </w:pPr>
      <w:r>
        <w:t>Usually the money goes to the other party and is just enough to satisfy the cost that the other side incurred in responding, BUT it can be</w:t>
      </w:r>
      <w:r w:rsidR="00CA1A2E">
        <w:t xml:space="preserve"> more as a reason to dissuade</w:t>
      </w:r>
      <w:r>
        <w:t xml:space="preserve"> behavior</w:t>
      </w:r>
    </w:p>
    <w:p w:rsidR="00A47AC2" w:rsidRDefault="00A47AC2" w:rsidP="00CA1A2E">
      <w:pPr>
        <w:pStyle w:val="NoteLevel2"/>
        <w:keepNext w:val="0"/>
        <w:widowControl w:val="0"/>
      </w:pPr>
      <w:r>
        <w:t>Sanctions do not have to be monetary</w:t>
      </w:r>
    </w:p>
    <w:p w:rsidR="00A47AC2" w:rsidRDefault="00A47AC2" w:rsidP="00CA1A2E">
      <w:pPr>
        <w:pStyle w:val="NoteLevel1"/>
        <w:keepNext w:val="0"/>
        <w:widowControl w:val="0"/>
      </w:pPr>
    </w:p>
    <w:p w:rsidR="00A47AC2" w:rsidRDefault="00A47AC2" w:rsidP="00CA1A2E">
      <w:pPr>
        <w:pStyle w:val="NoteLevel1"/>
        <w:keepNext w:val="0"/>
        <w:widowControl w:val="0"/>
      </w:pPr>
      <w:r>
        <w:t>Motions for Sanctions</w:t>
      </w:r>
    </w:p>
    <w:p w:rsidR="00A47AC2" w:rsidRDefault="00A47AC2" w:rsidP="00CA1A2E">
      <w:pPr>
        <w:pStyle w:val="NoteLevel2"/>
        <w:keepNext w:val="0"/>
        <w:widowControl w:val="0"/>
      </w:pPr>
      <w:r>
        <w:t>21 day safe harbor period</w:t>
      </w:r>
    </w:p>
    <w:p w:rsidR="00A47AC2" w:rsidRDefault="00A47AC2" w:rsidP="00CA1A2E">
      <w:pPr>
        <w:pStyle w:val="NoteLevel3"/>
        <w:keepNext w:val="0"/>
        <w:widowControl w:val="0"/>
      </w:pPr>
      <w:r>
        <w:t xml:space="preserve">You first serve the party with a motion for sanctions and they have 21 days to withdraw the claim, defense, contention, or denial </w:t>
      </w:r>
    </w:p>
    <w:p w:rsidR="00A47AC2" w:rsidRDefault="00A47AC2" w:rsidP="00CA1A2E">
      <w:pPr>
        <w:pStyle w:val="NoteLevel3"/>
        <w:keepNext w:val="0"/>
        <w:widowControl w:val="0"/>
      </w:pPr>
      <w:r>
        <w:t xml:space="preserve">The courts might have done this to keep these issues out of the courts and make parties deal with this themselves. </w:t>
      </w:r>
    </w:p>
    <w:p w:rsidR="00A47AC2" w:rsidRDefault="00A47AC2" w:rsidP="00CA1A2E">
      <w:pPr>
        <w:pStyle w:val="NoteLevel3"/>
        <w:keepNext w:val="0"/>
        <w:widowControl w:val="0"/>
      </w:pPr>
      <w:r>
        <w:t>Scalia dissented on this rule saying that it gives parties one bite out of the apple and they can say anything and retract if need be</w:t>
      </w:r>
    </w:p>
    <w:p w:rsidR="00A47AC2" w:rsidRPr="00CA1A2E" w:rsidRDefault="00A47AC2" w:rsidP="00CA1A2E">
      <w:pPr>
        <w:pStyle w:val="NoteLevel2"/>
        <w:keepNext w:val="0"/>
        <w:widowControl w:val="0"/>
      </w:pPr>
      <w:r>
        <w:t xml:space="preserve">Courts can </w:t>
      </w:r>
      <w:r w:rsidR="00CA1A2E">
        <w:t>bring up R 11</w:t>
      </w:r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 w:rsidRPr="00CA1A2E">
        <w:t>sponte</w:t>
      </w:r>
      <w:proofErr w:type="spellEnd"/>
    </w:p>
    <w:p w:rsidR="00CA1A2E" w:rsidRPr="00CA1A2E" w:rsidRDefault="00CA1A2E" w:rsidP="00CA1A2E">
      <w:pPr>
        <w:pStyle w:val="NoteLevel3"/>
        <w:keepNext w:val="0"/>
        <w:widowControl w:val="0"/>
      </w:pPr>
      <w:r w:rsidRPr="00CA1A2E">
        <w:rPr>
          <w:color w:val="000000"/>
          <w:szCs w:val="27"/>
        </w:rPr>
        <w:t>“</w:t>
      </w:r>
      <w:r w:rsidRPr="00CA1A2E">
        <w:rPr>
          <w:color w:val="000000"/>
          <w:szCs w:val="27"/>
        </w:rPr>
        <w:t>On its own, the court may order an attorney, law firm, or party to show cause why conduct specifically described in the order has not violated Rule 11(b)</w:t>
      </w:r>
      <w:r w:rsidRPr="00CA1A2E">
        <w:rPr>
          <w:color w:val="000000"/>
          <w:szCs w:val="27"/>
        </w:rPr>
        <w:t>”</w:t>
      </w:r>
    </w:p>
    <w:p w:rsidR="00CA1A2E" w:rsidRPr="00CA1A2E" w:rsidRDefault="00CA1A2E" w:rsidP="00CA1A2E">
      <w:pPr>
        <w:pStyle w:val="NoteLevel3"/>
        <w:keepNext w:val="0"/>
        <w:widowControl w:val="0"/>
      </w:pPr>
      <w:r w:rsidRPr="00CA1A2E">
        <w:t>In this case, there will be no 21 day safe harbor</w:t>
      </w:r>
    </w:p>
    <w:p w:rsidR="00A47AC2" w:rsidRPr="00CA1A2E" w:rsidRDefault="00CA1A2E" w:rsidP="00CA1A2E">
      <w:pPr>
        <w:pStyle w:val="NoteLevel3"/>
        <w:keepNext w:val="0"/>
        <w:widowControl w:val="0"/>
      </w:pPr>
      <w:r w:rsidRPr="00CA1A2E">
        <w:t>The court</w:t>
      </w:r>
      <w:r w:rsidR="00A47AC2" w:rsidRPr="00CA1A2E">
        <w:t xml:space="preserve"> cannot impose monetary sanctions </w:t>
      </w:r>
      <w:r w:rsidRPr="00CA1A2E">
        <w:t>if, before the show cause order,</w:t>
      </w:r>
      <w:r>
        <w:t xml:space="preserve"> </w:t>
      </w:r>
      <w:r w:rsidRPr="00CA1A2E">
        <w:t>there was “</w:t>
      </w:r>
      <w:r w:rsidRPr="00CA1A2E">
        <w:rPr>
          <w:color w:val="000000"/>
          <w:szCs w:val="27"/>
        </w:rPr>
        <w:t>voluntary dismissal or settlement of the claims made by or against the party that is, or whose attorneys are, to be sanctioned.</w:t>
      </w:r>
      <w:r w:rsidRPr="00CA1A2E">
        <w:rPr>
          <w:color w:val="000000"/>
          <w:szCs w:val="27"/>
        </w:rPr>
        <w:t>”</w:t>
      </w:r>
    </w:p>
    <w:p w:rsidR="00A47AC2" w:rsidRPr="00CA1A2E" w:rsidRDefault="00A47AC2" w:rsidP="00CA1A2E">
      <w:pPr>
        <w:widowControl w:val="0"/>
      </w:pPr>
    </w:p>
    <w:p w:rsidR="00F71657" w:rsidRPr="00CA1A2E" w:rsidRDefault="00F71657" w:rsidP="00CA1A2E">
      <w:pPr>
        <w:widowControl w:val="0"/>
      </w:pPr>
    </w:p>
    <w:sectPr w:rsidR="00F71657" w:rsidRPr="00CA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BC2B7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C2"/>
    <w:rsid w:val="003D0220"/>
    <w:rsid w:val="003F0B70"/>
    <w:rsid w:val="005E2545"/>
    <w:rsid w:val="00A47AC2"/>
    <w:rsid w:val="00CA1A2E"/>
    <w:rsid w:val="00F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AEB03-4E81-4064-9B26-7BB7E07A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C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rsid w:val="00A47AC2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rsid w:val="00A47AC2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rsid w:val="00A47AC2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rsid w:val="00A47AC2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rsid w:val="00A47AC2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rsid w:val="00A47AC2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rsid w:val="00A47AC2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rsid w:val="00A47AC2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rsid w:val="00A47AC2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dcterms:created xsi:type="dcterms:W3CDTF">2013-09-07T14:04:00Z</dcterms:created>
  <dcterms:modified xsi:type="dcterms:W3CDTF">2013-09-07T14:42:00Z</dcterms:modified>
</cp:coreProperties>
</file>