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962" w:rsidRDefault="00037962" w:rsidP="00037962">
      <w:r>
        <w:t>Review</w:t>
      </w:r>
    </w:p>
    <w:p w:rsidR="00037962" w:rsidRDefault="00037962" w:rsidP="00037962">
      <w:pPr>
        <w:pStyle w:val="ListParagraph"/>
        <w:numPr>
          <w:ilvl w:val="0"/>
          <w:numId w:val="1"/>
        </w:numPr>
      </w:pPr>
      <w:r>
        <w:t>1391(b)(3)- fall back provision</w:t>
      </w:r>
    </w:p>
    <w:p w:rsidR="00037962" w:rsidRDefault="00037962" w:rsidP="00037962">
      <w:pPr>
        <w:pStyle w:val="ListParagraph"/>
        <w:numPr>
          <w:ilvl w:val="1"/>
          <w:numId w:val="1"/>
        </w:numPr>
      </w:pPr>
      <w:r>
        <w:t>Used when everything happened abroad and the defendants are not residents of the same state</w:t>
      </w:r>
    </w:p>
    <w:p w:rsidR="00037962" w:rsidRDefault="00037962" w:rsidP="00037962">
      <w:pPr>
        <w:pStyle w:val="ListParagraph"/>
        <w:numPr>
          <w:ilvl w:val="1"/>
          <w:numId w:val="1"/>
        </w:numPr>
      </w:pPr>
      <w:r>
        <w:t>Be sure to still check on PJ</w:t>
      </w:r>
      <w:r>
        <w:t xml:space="preserve"> over each defendant</w:t>
      </w:r>
    </w:p>
    <w:p w:rsidR="00037962" w:rsidRDefault="00037962" w:rsidP="00037962">
      <w:pPr>
        <w:pStyle w:val="ListParagraph"/>
        <w:numPr>
          <w:ilvl w:val="0"/>
          <w:numId w:val="1"/>
        </w:numPr>
      </w:pPr>
      <w:r>
        <w:t xml:space="preserve">For every </w:t>
      </w:r>
      <w:r>
        <w:t>cause of action in federal court</w:t>
      </w:r>
      <w:r>
        <w:t xml:space="preserve"> there must be SMJ, PJ, and venue</w:t>
      </w:r>
    </w:p>
    <w:p w:rsidR="00037962" w:rsidRDefault="00037962" w:rsidP="00037962">
      <w:pPr>
        <w:pStyle w:val="ListParagraph"/>
        <w:numPr>
          <w:ilvl w:val="0"/>
          <w:numId w:val="1"/>
        </w:numPr>
      </w:pPr>
      <w:r>
        <w:t>SMJ, PJ, and venue for cross claims, counter-claims, etc… (we’ll talk about this later)</w:t>
      </w:r>
    </w:p>
    <w:p w:rsidR="00037962" w:rsidRDefault="00037962" w:rsidP="00037962">
      <w:r>
        <w:t>Defenses</w:t>
      </w:r>
    </w:p>
    <w:p w:rsidR="00037962" w:rsidRDefault="00037962" w:rsidP="00037962">
      <w:pPr>
        <w:pStyle w:val="ListParagraph"/>
        <w:numPr>
          <w:ilvl w:val="0"/>
          <w:numId w:val="2"/>
        </w:numPr>
      </w:pPr>
      <w:r>
        <w:t>Forum</w:t>
      </w:r>
      <w:r>
        <w:t xml:space="preserve"> is wrong (PJ, SMJ, Venue) or other procedural defect</w:t>
      </w:r>
      <w:r>
        <w:t xml:space="preserve"> </w:t>
      </w:r>
      <w:r>
        <w:t>(</w:t>
      </w:r>
      <w:r>
        <w:t>Service, Process) 12(b)(1)-(5)</w:t>
      </w:r>
    </w:p>
    <w:p w:rsidR="00037962" w:rsidRDefault="00037962" w:rsidP="00037962">
      <w:pPr>
        <w:pStyle w:val="ListParagraph"/>
        <w:numPr>
          <w:ilvl w:val="0"/>
          <w:numId w:val="2"/>
        </w:numPr>
      </w:pPr>
      <w:r>
        <w:t>Failure to state a claim 12(b)(6)</w:t>
      </w:r>
    </w:p>
    <w:p w:rsidR="00037962" w:rsidRDefault="00037962" w:rsidP="00037962">
      <w:pPr>
        <w:pStyle w:val="ListParagraph"/>
        <w:numPr>
          <w:ilvl w:val="0"/>
          <w:numId w:val="2"/>
        </w:numPr>
      </w:pPr>
      <w:r>
        <w:t xml:space="preserve">Negative defenses (denying </w:t>
      </w:r>
      <w:r>
        <w:t>an allegation that makes up an element of the cause of action</w:t>
      </w:r>
      <w:r>
        <w:t>)</w:t>
      </w:r>
    </w:p>
    <w:p w:rsidR="00037962" w:rsidRDefault="00037962" w:rsidP="00037962">
      <w:pPr>
        <w:pStyle w:val="ListParagraph"/>
        <w:numPr>
          <w:ilvl w:val="0"/>
          <w:numId w:val="2"/>
        </w:numPr>
        <w:spacing w:before="240"/>
      </w:pPr>
      <w:r>
        <w:t>Affirmative defenses (Δ</w:t>
      </w:r>
      <w:r w:rsidR="00F9579E">
        <w:t xml:space="preserve"> alleges facts that make him</w:t>
      </w:r>
      <w:r>
        <w:t xml:space="preserve"> not liable even if π states a claim and </w:t>
      </w:r>
      <w:r>
        <w:t>proves all elements of claim</w:t>
      </w:r>
      <w:r>
        <w:t>)</w:t>
      </w:r>
    </w:p>
    <w:p w:rsidR="00037962" w:rsidRDefault="00037962" w:rsidP="00037962">
      <w:pPr>
        <w:pStyle w:val="ListParagraph"/>
        <w:numPr>
          <w:ilvl w:val="0"/>
          <w:numId w:val="3"/>
        </w:numPr>
        <w:spacing w:before="240"/>
      </w:pPr>
      <w:r>
        <w:t>(3) and (4) must be brought in answer</w:t>
      </w:r>
      <w:r>
        <w:t xml:space="preserve"> – not in pre-answer motion</w:t>
      </w:r>
    </w:p>
    <w:p w:rsidR="00037962" w:rsidRDefault="00037962" w:rsidP="00037962">
      <w:pPr>
        <w:spacing w:before="240"/>
      </w:pPr>
      <w:r>
        <w:t>Pre-answer motions (includes all 12(b) defenses and 12(e), sometimes 12(f))</w:t>
      </w:r>
    </w:p>
    <w:p w:rsidR="00037962" w:rsidRDefault="00037962" w:rsidP="00037962">
      <w:pPr>
        <w:pStyle w:val="ListParagraph"/>
        <w:numPr>
          <w:ilvl w:val="0"/>
          <w:numId w:val="4"/>
        </w:numPr>
        <w:spacing w:before="240"/>
      </w:pPr>
      <w:r>
        <w:t>Gets rid</w:t>
      </w:r>
      <w:r>
        <w:t xml:space="preserve"> case without having to draft</w:t>
      </w:r>
      <w:r>
        <w:t xml:space="preserve"> unnecessary </w:t>
      </w:r>
      <w:r>
        <w:t>answer</w:t>
      </w:r>
    </w:p>
    <w:p w:rsidR="00037962" w:rsidRDefault="00037962" w:rsidP="00037962">
      <w:pPr>
        <w:pStyle w:val="ListParagraph"/>
        <w:numPr>
          <w:ilvl w:val="0"/>
          <w:numId w:val="4"/>
        </w:numPr>
        <w:spacing w:before="240"/>
      </w:pPr>
      <w:r>
        <w:t>Saves money and time</w:t>
      </w:r>
    </w:p>
    <w:p w:rsidR="00037962" w:rsidRDefault="00037962" w:rsidP="00037962">
      <w:pPr>
        <w:pStyle w:val="ListParagraph"/>
        <w:numPr>
          <w:ilvl w:val="0"/>
          <w:numId w:val="4"/>
        </w:numPr>
      </w:pPr>
      <w:r>
        <w:t>Allows you to delay having to answer the π’s complaint</w:t>
      </w:r>
    </w:p>
    <w:p w:rsidR="00037962" w:rsidRDefault="00037962" w:rsidP="00037962">
      <w:pPr>
        <w:pStyle w:val="ListParagraph"/>
        <w:numPr>
          <w:ilvl w:val="1"/>
          <w:numId w:val="4"/>
        </w:numPr>
      </w:pPr>
      <w:r>
        <w:t>If successful there is no need to answer at all</w:t>
      </w:r>
    </w:p>
    <w:p w:rsidR="00037962" w:rsidRDefault="00037962" w:rsidP="00037962">
      <w:pPr>
        <w:pStyle w:val="ListParagraph"/>
        <w:numPr>
          <w:ilvl w:val="0"/>
          <w:numId w:val="5"/>
        </w:numPr>
      </w:pPr>
      <w:r>
        <w:t>12(e) – motion for a more definite statement</w:t>
      </w:r>
    </w:p>
    <w:p w:rsidR="00037962" w:rsidRDefault="00037962" w:rsidP="00037962">
      <w:pPr>
        <w:pStyle w:val="ListParagraph"/>
        <w:numPr>
          <w:ilvl w:val="1"/>
          <w:numId w:val="5"/>
        </w:numPr>
      </w:pPr>
      <w:r>
        <w:t xml:space="preserve">Used when the complaint is too vague (think </w:t>
      </w:r>
      <w:proofErr w:type="spellStart"/>
      <w:r>
        <w:t>Twiqbal</w:t>
      </w:r>
      <w:proofErr w:type="spellEnd"/>
      <w:r>
        <w:t xml:space="preserve"> standards)</w:t>
      </w:r>
    </w:p>
    <w:p w:rsidR="00037962" w:rsidRDefault="00037962" w:rsidP="00037962">
      <w:pPr>
        <w:pStyle w:val="ListParagraph"/>
        <w:numPr>
          <w:ilvl w:val="1"/>
          <w:numId w:val="5"/>
        </w:numPr>
      </w:pPr>
      <w:r>
        <w:t>Helps with notice; allowing Δ to prepare his defense</w:t>
      </w:r>
    </w:p>
    <w:p w:rsidR="00037962" w:rsidRDefault="00037962" w:rsidP="00037962">
      <w:pPr>
        <w:pStyle w:val="ListParagraph"/>
        <w:numPr>
          <w:ilvl w:val="1"/>
          <w:numId w:val="5"/>
        </w:numPr>
      </w:pPr>
      <w:r>
        <w:t>Must point out exactly where more detail is desired</w:t>
      </w:r>
    </w:p>
    <w:p w:rsidR="00037962" w:rsidRDefault="00037962" w:rsidP="00037962">
      <w:pPr>
        <w:pStyle w:val="ListParagraph"/>
        <w:numPr>
          <w:ilvl w:val="1"/>
          <w:numId w:val="5"/>
        </w:numPr>
      </w:pPr>
      <w:r>
        <w:t xml:space="preserve">You only have 14 days from when the more definite statement is issued to </w:t>
      </w:r>
      <w:r>
        <w:t>answer</w:t>
      </w:r>
    </w:p>
    <w:p w:rsidR="00037962" w:rsidRDefault="00037962" w:rsidP="00037962">
      <w:pPr>
        <w:pStyle w:val="ListParagraph"/>
        <w:numPr>
          <w:ilvl w:val="0"/>
          <w:numId w:val="6"/>
        </w:numPr>
        <w:spacing w:before="240"/>
      </w:pPr>
      <w:r>
        <w:t>12(f) – motion to strike</w:t>
      </w:r>
    </w:p>
    <w:p w:rsidR="00037962" w:rsidRDefault="00037962" w:rsidP="00037962">
      <w:pPr>
        <w:pStyle w:val="ListParagraph"/>
        <w:numPr>
          <w:ilvl w:val="1"/>
          <w:numId w:val="6"/>
        </w:numPr>
        <w:spacing w:before="240"/>
      </w:pPr>
      <w:r>
        <w:t>Can be used by defendant</w:t>
      </w:r>
      <w:r w:rsidR="00F9579E">
        <w:t xml:space="preserve"> in pre-answer motion</w:t>
      </w:r>
      <w:r>
        <w:t xml:space="preserve"> to get</w:t>
      </w:r>
      <w:r>
        <w:t xml:space="preserve"> rid of gibberish</w:t>
      </w:r>
      <w:r>
        <w:t xml:space="preserve"> in complaint so defendant does not </w:t>
      </w:r>
      <w:r>
        <w:t xml:space="preserve"> </w:t>
      </w:r>
      <w:r>
        <w:t>have to answer those parts</w:t>
      </w:r>
    </w:p>
    <w:p w:rsidR="00037962" w:rsidRDefault="00037962" w:rsidP="00037962">
      <w:pPr>
        <w:pStyle w:val="ListParagraph"/>
        <w:numPr>
          <w:ilvl w:val="1"/>
          <w:numId w:val="6"/>
        </w:numPr>
        <w:spacing w:before="240"/>
      </w:pPr>
      <w:r>
        <w:t>Can be used by a plaintiff to get rid of legally</w:t>
      </w:r>
      <w:r>
        <w:t xml:space="preserve"> </w:t>
      </w:r>
      <w:r>
        <w:t>insufficient</w:t>
      </w:r>
      <w:r>
        <w:t xml:space="preserve"> affirmative defenses</w:t>
      </w:r>
      <w:r w:rsidR="00071617">
        <w:t xml:space="preserve"> in an answer</w:t>
      </w:r>
    </w:p>
    <w:p w:rsidR="00037962" w:rsidRDefault="00037962" w:rsidP="00037962">
      <w:pPr>
        <w:pStyle w:val="ListParagraph"/>
        <w:numPr>
          <w:ilvl w:val="0"/>
          <w:numId w:val="6"/>
        </w:numPr>
        <w:spacing w:before="240"/>
      </w:pPr>
      <w:r>
        <w:t xml:space="preserve">If the court denies your pre-answer motion then you have 14 days to </w:t>
      </w:r>
      <w:r w:rsidR="00071617">
        <w:t>answer</w:t>
      </w:r>
      <w:r>
        <w:t xml:space="preserve"> the complaint</w:t>
      </w:r>
    </w:p>
    <w:p w:rsidR="00037962" w:rsidRDefault="00037962" w:rsidP="00037962">
      <w:pPr>
        <w:pStyle w:val="ListParagraph"/>
        <w:numPr>
          <w:ilvl w:val="1"/>
          <w:numId w:val="6"/>
        </w:numPr>
        <w:spacing w:before="240"/>
      </w:pPr>
      <w:r>
        <w:t xml:space="preserve">Since you have already been dealing with the case in some manner for an extended period of time, there is no need for the normal 21 days to prepare </w:t>
      </w:r>
      <w:r w:rsidR="00071617">
        <w:t>an answer</w:t>
      </w:r>
      <w:r>
        <w:t>.</w:t>
      </w:r>
    </w:p>
    <w:p w:rsidR="00037962" w:rsidRDefault="00037962" w:rsidP="00037962">
      <w:pPr>
        <w:spacing w:before="240"/>
      </w:pPr>
      <w:r>
        <w:t>Answers</w:t>
      </w:r>
    </w:p>
    <w:p w:rsidR="00037962" w:rsidRDefault="00037962" w:rsidP="00037962">
      <w:pPr>
        <w:pStyle w:val="ListParagraph"/>
        <w:numPr>
          <w:ilvl w:val="0"/>
          <w:numId w:val="7"/>
        </w:numPr>
        <w:spacing w:before="240"/>
      </w:pPr>
      <w:r>
        <w:t xml:space="preserve">FRCP 7 – which pleadings are </w:t>
      </w:r>
      <w:proofErr w:type="gramStart"/>
      <w:r>
        <w:t>allowed.</w:t>
      </w:r>
      <w:proofErr w:type="gramEnd"/>
    </w:p>
    <w:p w:rsidR="00037962" w:rsidRDefault="00037962" w:rsidP="00037962">
      <w:pPr>
        <w:pStyle w:val="ListParagraph"/>
        <w:numPr>
          <w:ilvl w:val="0"/>
          <w:numId w:val="8"/>
        </w:numPr>
        <w:spacing w:before="240"/>
      </w:pPr>
      <w:r>
        <w:t>a complaint</w:t>
      </w:r>
    </w:p>
    <w:p w:rsidR="00037962" w:rsidRDefault="00037962" w:rsidP="00037962">
      <w:pPr>
        <w:pStyle w:val="ListParagraph"/>
        <w:numPr>
          <w:ilvl w:val="0"/>
          <w:numId w:val="8"/>
        </w:numPr>
        <w:spacing w:before="240"/>
      </w:pPr>
      <w:r>
        <w:t>an answer to a complaint</w:t>
      </w:r>
    </w:p>
    <w:p w:rsidR="00037962" w:rsidRDefault="00037962" w:rsidP="00037962">
      <w:pPr>
        <w:pStyle w:val="ListParagraph"/>
        <w:numPr>
          <w:ilvl w:val="0"/>
          <w:numId w:val="8"/>
        </w:numPr>
        <w:spacing w:before="240"/>
      </w:pPr>
      <w:r>
        <w:t>an answer to a counterclaim designated as a counterclaim</w:t>
      </w:r>
    </w:p>
    <w:p w:rsidR="00037962" w:rsidRDefault="00037962" w:rsidP="00037962">
      <w:pPr>
        <w:pStyle w:val="ListParagraph"/>
        <w:numPr>
          <w:ilvl w:val="0"/>
          <w:numId w:val="8"/>
        </w:numPr>
        <w:spacing w:before="240"/>
      </w:pPr>
      <w:r>
        <w:lastRenderedPageBreak/>
        <w:t xml:space="preserve">an answer to a </w:t>
      </w:r>
      <w:proofErr w:type="spellStart"/>
      <w:r>
        <w:t>crossclaim</w:t>
      </w:r>
      <w:proofErr w:type="spellEnd"/>
    </w:p>
    <w:p w:rsidR="00037962" w:rsidRDefault="00037962" w:rsidP="00037962">
      <w:pPr>
        <w:pStyle w:val="ListParagraph"/>
        <w:numPr>
          <w:ilvl w:val="0"/>
          <w:numId w:val="8"/>
        </w:numPr>
        <w:spacing w:before="240"/>
      </w:pPr>
      <w:r>
        <w:t>a third-party complaint</w:t>
      </w:r>
    </w:p>
    <w:p w:rsidR="00037962" w:rsidRDefault="00037962" w:rsidP="00037962">
      <w:pPr>
        <w:pStyle w:val="ListParagraph"/>
        <w:numPr>
          <w:ilvl w:val="0"/>
          <w:numId w:val="8"/>
        </w:numPr>
        <w:spacing w:before="240"/>
      </w:pPr>
      <w:r>
        <w:t>an answer to a third-party complaint; and</w:t>
      </w:r>
    </w:p>
    <w:p w:rsidR="00037962" w:rsidRDefault="00037962" w:rsidP="00037962">
      <w:pPr>
        <w:pStyle w:val="ListParagraph"/>
        <w:numPr>
          <w:ilvl w:val="0"/>
          <w:numId w:val="8"/>
        </w:numPr>
        <w:spacing w:before="240"/>
      </w:pPr>
      <w:proofErr w:type="gramStart"/>
      <w:r>
        <w:t>if</w:t>
      </w:r>
      <w:proofErr w:type="gramEnd"/>
      <w:r>
        <w:t xml:space="preserve"> the court orders one, a reply to an answer.</w:t>
      </w:r>
      <w:r>
        <w:br/>
      </w:r>
    </w:p>
    <w:p w:rsidR="00037962" w:rsidRDefault="00037962" w:rsidP="00037962">
      <w:pPr>
        <w:pStyle w:val="ListParagraph"/>
        <w:numPr>
          <w:ilvl w:val="0"/>
          <w:numId w:val="6"/>
        </w:numPr>
        <w:spacing w:before="240"/>
      </w:pPr>
      <w:r>
        <w:t xml:space="preserve">8(b)  - format of </w:t>
      </w:r>
      <w:r>
        <w:t>answers</w:t>
      </w:r>
    </w:p>
    <w:p w:rsidR="00037962" w:rsidRDefault="00037962" w:rsidP="00037962">
      <w:pPr>
        <w:pStyle w:val="ListParagraph"/>
        <w:numPr>
          <w:ilvl w:val="1"/>
          <w:numId w:val="6"/>
        </w:numPr>
        <w:spacing w:before="240"/>
      </w:pPr>
      <w:r>
        <w:t xml:space="preserve">Looks a lot like 8(a) (short plain statements) </w:t>
      </w:r>
    </w:p>
    <w:p w:rsidR="00037962" w:rsidRDefault="00037962" w:rsidP="00037962">
      <w:pPr>
        <w:pStyle w:val="ListParagraph"/>
        <w:numPr>
          <w:ilvl w:val="2"/>
          <w:numId w:val="6"/>
        </w:numPr>
        <w:spacing w:before="240"/>
      </w:pPr>
      <w:r>
        <w:t xml:space="preserve">No need for </w:t>
      </w:r>
      <w:proofErr w:type="spellStart"/>
      <w:r>
        <w:t>Twiqbal</w:t>
      </w:r>
      <w:proofErr w:type="spellEnd"/>
      <w:r>
        <w:t>?</w:t>
      </w:r>
    </w:p>
    <w:p w:rsidR="00037962" w:rsidRDefault="00037962" w:rsidP="00037962">
      <w:pPr>
        <w:pStyle w:val="ListParagraph"/>
        <w:numPr>
          <w:ilvl w:val="1"/>
          <w:numId w:val="6"/>
        </w:numPr>
        <w:spacing w:before="240"/>
      </w:pPr>
      <w:r>
        <w:t>admit or deny factual allegations</w:t>
      </w:r>
    </w:p>
    <w:p w:rsidR="00037962" w:rsidRDefault="00037962" w:rsidP="00037962">
      <w:pPr>
        <w:pStyle w:val="ListParagraph"/>
        <w:numPr>
          <w:ilvl w:val="2"/>
          <w:numId w:val="6"/>
        </w:numPr>
        <w:spacing w:before="240"/>
      </w:pPr>
      <w:r>
        <w:t xml:space="preserve">Some answers do this by admitting or denying the </w:t>
      </w:r>
      <w:r w:rsidR="001B41A7">
        <w:t>allegations</w:t>
      </w:r>
      <w:r>
        <w:t xml:space="preserve"> paragraph by paragraph</w:t>
      </w:r>
    </w:p>
    <w:p w:rsidR="00037962" w:rsidRDefault="00037962" w:rsidP="00037962">
      <w:pPr>
        <w:pStyle w:val="ListParagraph"/>
        <w:numPr>
          <w:ilvl w:val="2"/>
          <w:numId w:val="6"/>
        </w:numPr>
        <w:spacing w:before="240"/>
      </w:pPr>
      <w:r>
        <w:t xml:space="preserve">Other answers will list which </w:t>
      </w:r>
      <w:r w:rsidR="001B41A7">
        <w:t>allegations</w:t>
      </w:r>
      <w:r>
        <w:t xml:space="preserve"> they admit or deny</w:t>
      </w:r>
      <w:r w:rsidR="001B41A7">
        <w:t xml:space="preserve"> as a group</w:t>
      </w:r>
    </w:p>
    <w:p w:rsidR="001B41A7" w:rsidRDefault="00037962" w:rsidP="001B41A7">
      <w:pPr>
        <w:pStyle w:val="ListParagraph"/>
        <w:numPr>
          <w:ilvl w:val="0"/>
          <w:numId w:val="9"/>
        </w:numPr>
        <w:spacing w:before="240"/>
      </w:pPr>
      <w:r>
        <w:t>Firms can manipulate answers by</w:t>
      </w:r>
      <w:r w:rsidR="001B41A7">
        <w:t xml:space="preserve"> saying “denied, except…” or “admitted, except…” and then</w:t>
      </w:r>
      <w:r>
        <w:t xml:space="preserve"> p</w:t>
      </w:r>
      <w:r w:rsidR="001B41A7">
        <w:t xml:space="preserve">utting the part that is the exception </w:t>
      </w:r>
      <w:r>
        <w:t>into their own words (essentially giving an alternate account</w:t>
      </w:r>
      <w:r w:rsidR="00071617">
        <w:t xml:space="preserve"> to the plaintiff’s allegations</w:t>
      </w:r>
      <w:r>
        <w:t>)</w:t>
      </w:r>
    </w:p>
    <w:p w:rsidR="00037962" w:rsidRDefault="00037962" w:rsidP="00037962">
      <w:pPr>
        <w:pStyle w:val="ListParagraph"/>
        <w:spacing w:before="240"/>
        <w:ind w:left="1440"/>
      </w:pPr>
    </w:p>
    <w:p w:rsidR="00037962" w:rsidRDefault="00037962" w:rsidP="00037962">
      <w:pPr>
        <w:pStyle w:val="ListParagraph"/>
        <w:numPr>
          <w:ilvl w:val="0"/>
          <w:numId w:val="10"/>
        </w:numPr>
        <w:spacing w:before="240"/>
      </w:pPr>
      <w:r>
        <w:t>8(c)- lists some examples of affirmative defenses that may be brought</w:t>
      </w:r>
    </w:p>
    <w:p w:rsidR="001B41A7" w:rsidRDefault="00071617" w:rsidP="00037962">
      <w:pPr>
        <w:pStyle w:val="ListParagraph"/>
        <w:numPr>
          <w:ilvl w:val="1"/>
          <w:numId w:val="10"/>
        </w:numPr>
        <w:spacing w:before="240"/>
      </w:pPr>
      <w:r>
        <w:t>the</w:t>
      </w:r>
      <w:r w:rsidR="00CF363E">
        <w:t xml:space="preserve"> law that</w:t>
      </w:r>
      <w:r w:rsidR="001B41A7" w:rsidRPr="001B41A7">
        <w:t xml:space="preserve"> supplies the cause of action (e.g. </w:t>
      </w:r>
      <w:r w:rsidR="00037962" w:rsidRPr="001B41A7">
        <w:t>state law</w:t>
      </w:r>
      <w:r w:rsidR="001B41A7">
        <w:t xml:space="preserve"> in a diversity case)</w:t>
      </w:r>
      <w:r w:rsidR="00037962">
        <w:t xml:space="preserve"> </w:t>
      </w:r>
      <w:r w:rsidR="00CF363E">
        <w:t>is</w:t>
      </w:r>
      <w:r w:rsidR="00037962">
        <w:t xml:space="preserve"> what will govern </w:t>
      </w:r>
      <w:r w:rsidR="001B41A7">
        <w:t>which affirmative</w:t>
      </w:r>
      <w:r w:rsidR="00037962">
        <w:t xml:space="preserve"> defenses </w:t>
      </w:r>
      <w:r w:rsidR="001B41A7">
        <w:t>(like contributory negligence</w:t>
      </w:r>
      <w:r w:rsidR="0079782F">
        <w:t xml:space="preserve"> v. comparative fault</w:t>
      </w:r>
      <w:r w:rsidR="001B41A7">
        <w:t>) can be brought</w:t>
      </w:r>
    </w:p>
    <w:p w:rsidR="00037962" w:rsidRDefault="001B41A7" w:rsidP="001B41A7">
      <w:pPr>
        <w:pStyle w:val="ListParagraph"/>
        <w:numPr>
          <w:ilvl w:val="3"/>
          <w:numId w:val="10"/>
        </w:numPr>
        <w:spacing w:before="240"/>
      </w:pPr>
      <w:r>
        <w:t>Note: this is not so for certain procedural defenses like res judicata (we will get to this)</w:t>
      </w:r>
    </w:p>
    <w:p w:rsidR="001B41A7" w:rsidRDefault="001B41A7" w:rsidP="00037962">
      <w:pPr>
        <w:pStyle w:val="ListParagraph"/>
        <w:numPr>
          <w:ilvl w:val="1"/>
          <w:numId w:val="10"/>
        </w:numPr>
        <w:spacing w:before="240"/>
      </w:pPr>
      <w:r>
        <w:t>Examples</w:t>
      </w:r>
      <w:r w:rsidR="00CF363E">
        <w:t xml:space="preserve"> of affirmative defenses</w:t>
      </w:r>
    </w:p>
    <w:p w:rsidR="00037962" w:rsidRDefault="00037962" w:rsidP="001B41A7">
      <w:pPr>
        <w:pStyle w:val="ListParagraph"/>
        <w:numPr>
          <w:ilvl w:val="3"/>
          <w:numId w:val="10"/>
        </w:numPr>
        <w:spacing w:before="240"/>
      </w:pPr>
      <w:r>
        <w:t>Accord and satisfaction – there was already a pre-litigation settlement</w:t>
      </w:r>
    </w:p>
    <w:p w:rsidR="00037962" w:rsidRDefault="00037962" w:rsidP="001B41A7">
      <w:pPr>
        <w:pStyle w:val="ListParagraph"/>
        <w:numPr>
          <w:ilvl w:val="3"/>
          <w:numId w:val="10"/>
        </w:numPr>
        <w:spacing w:before="240"/>
      </w:pPr>
      <w:r>
        <w:t>Arbitration and award - already been adjudicated by an arbitrator</w:t>
      </w:r>
    </w:p>
    <w:p w:rsidR="00037962" w:rsidRDefault="00037962" w:rsidP="00037962">
      <w:pPr>
        <w:pStyle w:val="ListParagraph"/>
        <w:numPr>
          <w:ilvl w:val="0"/>
          <w:numId w:val="10"/>
        </w:numPr>
        <w:spacing w:before="240"/>
      </w:pPr>
      <w:r>
        <w:t xml:space="preserve">8(c)(2) – mistaken identity </w:t>
      </w:r>
    </w:p>
    <w:p w:rsidR="00037962" w:rsidRDefault="00037962" w:rsidP="00037962">
      <w:pPr>
        <w:pStyle w:val="ListParagraph"/>
        <w:numPr>
          <w:ilvl w:val="1"/>
          <w:numId w:val="10"/>
        </w:numPr>
        <w:spacing w:before="240"/>
      </w:pPr>
      <w:r>
        <w:t xml:space="preserve">If Δ mistakes a counterclaim for an affirmative defense or vice-versa, the court will this treat the pleading as if it was stated </w:t>
      </w:r>
      <w:proofErr w:type="gramStart"/>
      <w:r>
        <w:t>correctly.</w:t>
      </w:r>
      <w:proofErr w:type="gramEnd"/>
      <w:r>
        <w:t xml:space="preserve"> </w:t>
      </w:r>
    </w:p>
    <w:p w:rsidR="00037962" w:rsidRDefault="00037962" w:rsidP="00037962">
      <w:pPr>
        <w:pStyle w:val="ListParagraph"/>
        <w:numPr>
          <w:ilvl w:val="3"/>
          <w:numId w:val="10"/>
        </w:numPr>
      </w:pPr>
      <w:r>
        <w:t>This is generous to the Δ, probably because court doesn’t want to waste its time with litigation that should not actually go through.</w:t>
      </w:r>
    </w:p>
    <w:p w:rsidR="00037962" w:rsidRDefault="00037962" w:rsidP="00037962">
      <w:pPr>
        <w:pStyle w:val="ListParagraph"/>
        <w:numPr>
          <w:ilvl w:val="2"/>
          <w:numId w:val="10"/>
        </w:numPr>
      </w:pPr>
      <w:r>
        <w:t>Counterclaim means π actually owes Δ</w:t>
      </w:r>
    </w:p>
    <w:p w:rsidR="00037962" w:rsidRDefault="00037962" w:rsidP="00037962">
      <w:pPr>
        <w:pStyle w:val="ListParagraph"/>
        <w:numPr>
          <w:ilvl w:val="2"/>
          <w:numId w:val="10"/>
        </w:numPr>
      </w:pPr>
      <w:r>
        <w:t>Affirmative defense means Δ is not liable</w:t>
      </w:r>
      <w:r w:rsidR="00CF363E">
        <w:t xml:space="preserve"> to </w:t>
      </w:r>
      <w:r w:rsidR="00CF363E">
        <w:t>π</w:t>
      </w:r>
    </w:p>
    <w:p w:rsidR="00037962" w:rsidRDefault="00037962" w:rsidP="00037962">
      <w:pPr>
        <w:pStyle w:val="ListParagraph"/>
        <w:numPr>
          <w:ilvl w:val="2"/>
          <w:numId w:val="10"/>
        </w:numPr>
      </w:pPr>
      <w:r>
        <w:t xml:space="preserve">Sometimes an action can work as both an affirmative defense and as the grounds for counterclaim </w:t>
      </w:r>
    </w:p>
    <w:p w:rsidR="00037962" w:rsidRDefault="00037962" w:rsidP="00037962">
      <w:pPr>
        <w:pStyle w:val="ListParagraph"/>
        <w:numPr>
          <w:ilvl w:val="3"/>
          <w:numId w:val="10"/>
        </w:numPr>
      </w:pPr>
      <w:r>
        <w:t xml:space="preserve">Termite example. P sues D because D </w:t>
      </w:r>
      <w:r w:rsidR="00CF363E">
        <w:t xml:space="preserve">bought house and won’t pay. </w:t>
      </w:r>
      <w:r>
        <w:t xml:space="preserve"> D might bring a defense of fraud</w:t>
      </w:r>
      <w:r w:rsidR="00CF363E">
        <w:t xml:space="preserve"> (P lied about termites)</w:t>
      </w:r>
      <w:r>
        <w:t>. This is an affirmative defense, but it’s also grounds for a counterclaim. “I don’t have to pay you, and furtherm</w:t>
      </w:r>
      <w:r w:rsidR="00CF363E">
        <w:t>ore you actually have to pay me – I should get my deposit back</w:t>
      </w:r>
      <w:r>
        <w:t>” This is both an affirmative defense and a counterclaim and it can often be unclear whether D is trying to do one, the other, or both. The courts are just very generous.</w:t>
      </w:r>
    </w:p>
    <w:p w:rsidR="00037962" w:rsidRDefault="00037962" w:rsidP="00037962">
      <w:pPr>
        <w:pStyle w:val="ListParagraph"/>
        <w:numPr>
          <w:ilvl w:val="0"/>
          <w:numId w:val="10"/>
        </w:numPr>
      </w:pPr>
      <w:r>
        <w:t xml:space="preserve">Counterclaims and/or </w:t>
      </w:r>
      <w:proofErr w:type="spellStart"/>
      <w:r>
        <w:t>crossclaims</w:t>
      </w:r>
      <w:proofErr w:type="spellEnd"/>
      <w:r>
        <w:t xml:space="preserve"> are put in with the answer or in a separate pleading</w:t>
      </w:r>
    </w:p>
    <w:p w:rsidR="00037962" w:rsidRDefault="00037962" w:rsidP="00037962">
      <w:pPr>
        <w:pStyle w:val="ListParagraph"/>
        <w:numPr>
          <w:ilvl w:val="1"/>
          <w:numId w:val="10"/>
        </w:numPr>
      </w:pPr>
      <w:r>
        <w:t xml:space="preserve">Each of the extra-pleadings (counterclaim, </w:t>
      </w:r>
      <w:proofErr w:type="spellStart"/>
      <w:r>
        <w:t>crossclaim</w:t>
      </w:r>
      <w:proofErr w:type="spellEnd"/>
      <w:r>
        <w:t>, etc…) will look like complaints and they will have an answer</w:t>
      </w:r>
    </w:p>
    <w:p w:rsidR="00037962" w:rsidRDefault="00037962" w:rsidP="00037962">
      <w:pPr>
        <w:pStyle w:val="ListParagraph"/>
        <w:ind w:left="1440"/>
      </w:pPr>
    </w:p>
    <w:p w:rsidR="00037962" w:rsidRDefault="00037962" w:rsidP="00037962">
      <w:pPr>
        <w:pStyle w:val="ListParagraph"/>
        <w:numPr>
          <w:ilvl w:val="0"/>
          <w:numId w:val="10"/>
        </w:numPr>
        <w:spacing w:before="240"/>
      </w:pPr>
      <w:r>
        <w:t>Motions are incredibly brief</w:t>
      </w:r>
    </w:p>
    <w:p w:rsidR="00037962" w:rsidRDefault="00037962" w:rsidP="00037962"/>
    <w:p w:rsidR="00037962" w:rsidRDefault="00037962" w:rsidP="00037962">
      <w:r>
        <w:t>Waiver of defenses - 12(g) and 12(h)</w:t>
      </w:r>
    </w:p>
    <w:p w:rsidR="00037962" w:rsidRDefault="00037962" w:rsidP="00037962">
      <w:pPr>
        <w:pStyle w:val="ListParagraph"/>
        <w:numPr>
          <w:ilvl w:val="0"/>
          <w:numId w:val="11"/>
        </w:numPr>
      </w:pPr>
      <w:r>
        <w:t xml:space="preserve">SMJ </w:t>
      </w:r>
    </w:p>
    <w:p w:rsidR="00037962" w:rsidRDefault="00037962" w:rsidP="00037962">
      <w:pPr>
        <w:pStyle w:val="ListParagraph"/>
        <w:numPr>
          <w:ilvl w:val="1"/>
          <w:numId w:val="11"/>
        </w:numPr>
      </w:pPr>
      <w:r>
        <w:t xml:space="preserve">can be brought up at any time </w:t>
      </w:r>
    </w:p>
    <w:p w:rsidR="00037962" w:rsidRDefault="00037962" w:rsidP="00037962">
      <w:pPr>
        <w:pStyle w:val="ListParagraph"/>
        <w:numPr>
          <w:ilvl w:val="1"/>
          <w:numId w:val="11"/>
        </w:numPr>
      </w:pPr>
      <w:r>
        <w:t xml:space="preserve">the court actually has an obligation to bring this up </w:t>
      </w:r>
      <w:proofErr w:type="spellStart"/>
      <w:r>
        <w:rPr>
          <w:i/>
        </w:rPr>
        <w:t>sua</w:t>
      </w:r>
      <w:proofErr w:type="spellEnd"/>
      <w:r>
        <w:rPr>
          <w:i/>
        </w:rPr>
        <w:t xml:space="preserve"> </w:t>
      </w:r>
      <w:proofErr w:type="spellStart"/>
      <w:r>
        <w:rPr>
          <w:i/>
        </w:rPr>
        <w:t>sponte</w:t>
      </w:r>
      <w:proofErr w:type="spellEnd"/>
      <w:r>
        <w:t xml:space="preserve"> </w:t>
      </w:r>
    </w:p>
    <w:p w:rsidR="00037962" w:rsidRDefault="00037962" w:rsidP="00037962">
      <w:pPr>
        <w:pStyle w:val="ListParagraph"/>
        <w:numPr>
          <w:ilvl w:val="0"/>
          <w:numId w:val="11"/>
        </w:numPr>
      </w:pPr>
      <w:r>
        <w:t>Failure to state a claim/join a necessary party</w:t>
      </w:r>
    </w:p>
    <w:p w:rsidR="00037962" w:rsidRDefault="00037962" w:rsidP="00037962">
      <w:pPr>
        <w:pStyle w:val="ListParagraph"/>
        <w:numPr>
          <w:ilvl w:val="1"/>
          <w:numId w:val="11"/>
        </w:numPr>
      </w:pPr>
      <w:r>
        <w:t xml:space="preserve">Must be in </w:t>
      </w:r>
      <w:r w:rsidR="00CF363E">
        <w:t xml:space="preserve">first </w:t>
      </w:r>
      <w:r>
        <w:t xml:space="preserve">pre-answer motion if you make one. </w:t>
      </w:r>
    </w:p>
    <w:p w:rsidR="00037962" w:rsidRDefault="00037962" w:rsidP="004572FE">
      <w:pPr>
        <w:pStyle w:val="ListParagraph"/>
        <w:numPr>
          <w:ilvl w:val="2"/>
          <w:numId w:val="11"/>
        </w:numPr>
      </w:pPr>
      <w:r>
        <w:t xml:space="preserve">Can’t be in a second pre-answer motion unless </w:t>
      </w:r>
      <w:r w:rsidR="00CF363E">
        <w:t>defense</w:t>
      </w:r>
      <w:r>
        <w:t xml:space="preserve"> was previously unavailable.</w:t>
      </w:r>
    </w:p>
    <w:p w:rsidR="00037962" w:rsidRDefault="00037962" w:rsidP="00037962">
      <w:pPr>
        <w:pStyle w:val="ListParagraph"/>
        <w:numPr>
          <w:ilvl w:val="2"/>
          <w:numId w:val="11"/>
        </w:numPr>
      </w:pPr>
      <w:r>
        <w:t>E.g. after a motion for a more definite statement</w:t>
      </w:r>
    </w:p>
    <w:p w:rsidR="00CF363E" w:rsidRDefault="004572FE" w:rsidP="00CF363E">
      <w:pPr>
        <w:pStyle w:val="ListParagraph"/>
        <w:numPr>
          <w:ilvl w:val="2"/>
          <w:numId w:val="10"/>
        </w:numPr>
      </w:pPr>
      <w:r>
        <w:t xml:space="preserve">But </w:t>
      </w:r>
      <w:r w:rsidR="00CF363E">
        <w:t>you</w:t>
      </w:r>
      <w:r w:rsidR="00037962">
        <w:t xml:space="preserve"> </w:t>
      </w:r>
      <w:r>
        <w:t xml:space="preserve">can always bring this up later, </w:t>
      </w:r>
      <w:r w:rsidR="00037962">
        <w:t xml:space="preserve">in an answer or </w:t>
      </w:r>
      <w:r w:rsidR="00CF363E">
        <w:t xml:space="preserve">after pleading period in a </w:t>
      </w:r>
      <w:r w:rsidR="00071617">
        <w:t xml:space="preserve">motion for a </w:t>
      </w:r>
      <w:r w:rsidR="00CF363E">
        <w:t>judgment on the pleadings</w:t>
      </w:r>
    </w:p>
    <w:p w:rsidR="00037962" w:rsidRDefault="00037962" w:rsidP="00037962">
      <w:pPr>
        <w:pStyle w:val="ListParagraph"/>
        <w:numPr>
          <w:ilvl w:val="2"/>
          <w:numId w:val="10"/>
        </w:numPr>
      </w:pPr>
      <w:r>
        <w:t xml:space="preserve">This defense is essentially impossible to waive because our legal system believes it is important to spend money on lawsuits only when </w:t>
      </w:r>
      <w:r w:rsidR="00071617">
        <w:t>what the plaintiff is claiming is a violation of the law</w:t>
      </w:r>
      <w:r>
        <w:t xml:space="preserve">. </w:t>
      </w:r>
    </w:p>
    <w:p w:rsidR="00037962" w:rsidRDefault="00037962" w:rsidP="00037962">
      <w:pPr>
        <w:pStyle w:val="ListParagraph"/>
        <w:numPr>
          <w:ilvl w:val="0"/>
          <w:numId w:val="12"/>
        </w:numPr>
      </w:pPr>
      <w:r>
        <w:t xml:space="preserve">PJ, venue, process, and service (actually </w:t>
      </w:r>
      <w:proofErr w:type="spellStart"/>
      <w:r>
        <w:t>waivable</w:t>
      </w:r>
      <w:proofErr w:type="spellEnd"/>
      <w:r>
        <w:t>)</w:t>
      </w:r>
    </w:p>
    <w:p w:rsidR="00037962" w:rsidRDefault="00037962" w:rsidP="00037962">
      <w:pPr>
        <w:pStyle w:val="ListParagraph"/>
        <w:numPr>
          <w:ilvl w:val="1"/>
          <w:numId w:val="12"/>
        </w:numPr>
      </w:pPr>
      <w:r>
        <w:t>must be brought in first response (can’t bring up in 2</w:t>
      </w:r>
      <w:r>
        <w:rPr>
          <w:vertAlign w:val="superscript"/>
        </w:rPr>
        <w:t>nd</w:t>
      </w:r>
      <w:r>
        <w:t xml:space="preserve"> unless not previously available) </w:t>
      </w:r>
    </w:p>
    <w:p w:rsidR="00037962" w:rsidRDefault="004572FE" w:rsidP="00037962">
      <w:pPr>
        <w:pStyle w:val="ListParagraph"/>
        <w:numPr>
          <w:ilvl w:val="1"/>
          <w:numId w:val="13"/>
        </w:numPr>
      </w:pPr>
      <w:r>
        <w:t xml:space="preserve">slight exception: </w:t>
      </w:r>
      <w:r w:rsidR="00037962">
        <w:t xml:space="preserve">If you forget them and your first </w:t>
      </w:r>
      <w:r>
        <w:t>response</w:t>
      </w:r>
      <w:r w:rsidR="00037962">
        <w:t xml:space="preserve"> was an answer then you can amend within 21 days as a matter of course</w:t>
      </w:r>
      <w:r>
        <w:t xml:space="preserve"> to put them in</w:t>
      </w:r>
    </w:p>
    <w:p w:rsidR="007A3CBD" w:rsidRDefault="007A3CBD" w:rsidP="007A3CBD">
      <w:pPr>
        <w:pStyle w:val="ListParagraph"/>
        <w:numPr>
          <w:ilvl w:val="1"/>
          <w:numId w:val="13"/>
        </w:numPr>
      </w:pPr>
      <w:r>
        <w:t xml:space="preserve">It’s a little bit better to screw up in a first response answer than a first response pre-answer motion, so why wouldn’t you always use answer? </w:t>
      </w:r>
    </w:p>
    <w:p w:rsidR="007A3CBD" w:rsidRDefault="007A3CBD" w:rsidP="007A3CBD">
      <w:pPr>
        <w:pStyle w:val="ListParagraph"/>
        <w:numPr>
          <w:ilvl w:val="1"/>
          <w:numId w:val="13"/>
        </w:numPr>
      </w:pPr>
      <w:r>
        <w:t>The cost is a lot greater, the best way is just to examine all possible defenses and use a pre-answer motion</w:t>
      </w:r>
    </w:p>
    <w:p w:rsidR="00037962" w:rsidRDefault="00037962" w:rsidP="00037962">
      <w:pPr>
        <w:pStyle w:val="ListParagraph"/>
        <w:numPr>
          <w:ilvl w:val="0"/>
          <w:numId w:val="14"/>
        </w:numPr>
      </w:pPr>
      <w:r>
        <w:t>These defenses should be obvious so it isn’t really prejudicial for them to have a timeline</w:t>
      </w:r>
    </w:p>
    <w:p w:rsidR="00037962" w:rsidRDefault="00037962" w:rsidP="00037962">
      <w:pPr>
        <w:pStyle w:val="ListParagraph"/>
        <w:numPr>
          <w:ilvl w:val="0"/>
          <w:numId w:val="14"/>
        </w:numPr>
      </w:pPr>
      <w:r>
        <w:t xml:space="preserve">Often a source of malpractice when lawyers </w:t>
      </w:r>
      <w:r w:rsidR="004572FE">
        <w:t>waive</w:t>
      </w:r>
      <w:r>
        <w:t xml:space="preserve"> these defenses</w:t>
      </w:r>
    </w:p>
    <w:p w:rsidR="00037962" w:rsidRDefault="00037962" w:rsidP="00037962">
      <w:pPr>
        <w:pStyle w:val="ListParagraph"/>
        <w:numPr>
          <w:ilvl w:val="0"/>
          <w:numId w:val="14"/>
        </w:numPr>
      </w:pPr>
      <w:r>
        <w:t>Why</w:t>
      </w:r>
      <w:r w:rsidR="004572FE">
        <w:t xml:space="preserve"> is venue </w:t>
      </w:r>
      <w:proofErr w:type="spellStart"/>
      <w:r w:rsidR="004572FE">
        <w:t>waivable</w:t>
      </w:r>
      <w:proofErr w:type="spellEnd"/>
      <w:r w:rsidR="004572FE">
        <w:t>? Related to question of why</w:t>
      </w:r>
      <w:r>
        <w:t xml:space="preserve"> venue</w:t>
      </w:r>
      <w:r w:rsidR="004572FE">
        <w:t xml:space="preserve"> can’t</w:t>
      </w:r>
      <w:r>
        <w:t xml:space="preserve"> be brought up</w:t>
      </w:r>
      <w:r w:rsidR="004572FE">
        <w:t xml:space="preserve"> by court</w:t>
      </w:r>
      <w:r>
        <w:t xml:space="preserve"> </w:t>
      </w:r>
      <w:proofErr w:type="spellStart"/>
      <w:r>
        <w:t>sua</w:t>
      </w:r>
      <w:proofErr w:type="spellEnd"/>
      <w:r>
        <w:t xml:space="preserve"> </w:t>
      </w:r>
      <w:proofErr w:type="spellStart"/>
      <w:r>
        <w:t>sponte</w:t>
      </w:r>
      <w:proofErr w:type="spellEnd"/>
      <w:r w:rsidR="004572FE">
        <w:t xml:space="preserve">. </w:t>
      </w:r>
      <w:r>
        <w:t xml:space="preserve"> Won’t this be inconvenient for the court and witnesses?</w:t>
      </w:r>
    </w:p>
    <w:p w:rsidR="004572FE" w:rsidRDefault="004572FE" w:rsidP="004572FE">
      <w:pPr>
        <w:pStyle w:val="ListParagraph"/>
        <w:numPr>
          <w:ilvl w:val="1"/>
          <w:numId w:val="14"/>
        </w:numPr>
      </w:pPr>
      <w:r>
        <w:t xml:space="preserve">Odd that it is treated as a </w:t>
      </w:r>
      <w:proofErr w:type="spellStart"/>
      <w:r>
        <w:t>waivable</w:t>
      </w:r>
      <w:proofErr w:type="spellEnd"/>
      <w:r>
        <w:t xml:space="preserve"> defense, but it is (although occasionally courts will bring up venue </w:t>
      </w:r>
      <w:proofErr w:type="spellStart"/>
      <w:r>
        <w:t>sua</w:t>
      </w:r>
      <w:proofErr w:type="spellEnd"/>
      <w:r>
        <w:t xml:space="preserve"> </w:t>
      </w:r>
      <w:proofErr w:type="spellStart"/>
      <w:r>
        <w:t>sponte</w:t>
      </w:r>
      <w:proofErr w:type="spellEnd"/>
      <w:r>
        <w:t xml:space="preserve"> – unclear whether this is OK or not)</w:t>
      </w:r>
    </w:p>
    <w:p w:rsidR="004572FE" w:rsidRDefault="00037962" w:rsidP="007A3CBD">
      <w:pPr>
        <w:pStyle w:val="ListParagraph"/>
        <w:numPr>
          <w:ilvl w:val="1"/>
          <w:numId w:val="13"/>
        </w:numPr>
      </w:pPr>
      <w:r>
        <w:t>If you waive ve</w:t>
      </w:r>
      <w:r w:rsidR="004572FE">
        <w:t>nue could you</w:t>
      </w:r>
      <w:r w:rsidR="007A3CBD">
        <w:t xml:space="preserve"> still </w:t>
      </w:r>
      <w:r w:rsidR="004572FE">
        <w:t>ask for transfer</w:t>
      </w:r>
      <w:r>
        <w:t xml:space="preserve"> (need for transfer could become clear later)</w:t>
      </w:r>
    </w:p>
    <w:p w:rsidR="00037962" w:rsidRDefault="00037962" w:rsidP="00037962">
      <w:pPr>
        <w:pStyle w:val="ListParagraph"/>
        <w:numPr>
          <w:ilvl w:val="1"/>
          <w:numId w:val="13"/>
        </w:numPr>
      </w:pPr>
      <w:r>
        <w:t>If there are two</w:t>
      </w:r>
      <w:r w:rsidR="007A3CBD">
        <w:t xml:space="preserve"> or more districts with</w:t>
      </w:r>
      <w:r>
        <w:t xml:space="preserve"> venu</w:t>
      </w:r>
      <w:r w:rsidR="007A3CBD">
        <w:t>e</w:t>
      </w:r>
      <w:r>
        <w:t xml:space="preserve"> and one is better, you can request for transfer </w:t>
      </w:r>
      <w:r w:rsidR="007A3CBD">
        <w:t xml:space="preserve">under 28 USC 1404 </w:t>
      </w:r>
      <w:r>
        <w:t>to that district</w:t>
      </w:r>
    </w:p>
    <w:p w:rsidR="00037962" w:rsidRDefault="00037962" w:rsidP="00037962">
      <w:r>
        <w:t>Amendment</w:t>
      </w:r>
    </w:p>
    <w:p w:rsidR="00037962" w:rsidRPr="00C92541" w:rsidRDefault="00037962" w:rsidP="00037962">
      <w:pPr>
        <w:pStyle w:val="ListParagraph"/>
        <w:numPr>
          <w:ilvl w:val="0"/>
          <w:numId w:val="15"/>
        </w:numPr>
      </w:pPr>
      <w:r w:rsidRPr="00C92541">
        <w:t>As a matter of course - 15(a)</w:t>
      </w:r>
    </w:p>
    <w:p w:rsidR="00C92541" w:rsidRPr="00C92541" w:rsidRDefault="00037962" w:rsidP="00037962">
      <w:pPr>
        <w:pStyle w:val="ListParagraph"/>
        <w:numPr>
          <w:ilvl w:val="1"/>
          <w:numId w:val="15"/>
        </w:numPr>
      </w:pPr>
      <w:r w:rsidRPr="00C92541">
        <w:t xml:space="preserve">You can just file on your own </w:t>
      </w:r>
      <w:r w:rsidR="00C92541" w:rsidRPr="00C92541">
        <w:t>without requesting it of the court or the other side</w:t>
      </w:r>
    </w:p>
    <w:p w:rsidR="00037962" w:rsidRPr="00C92541" w:rsidRDefault="00071617" w:rsidP="00037962">
      <w:pPr>
        <w:pStyle w:val="ListParagraph"/>
        <w:numPr>
          <w:ilvl w:val="1"/>
          <w:numId w:val="15"/>
        </w:numPr>
      </w:pPr>
      <w:r>
        <w:t xml:space="preserve">It is allowed </w:t>
      </w:r>
      <w:r w:rsidR="00037962" w:rsidRPr="00C92541">
        <w:t>within 21 days of serving the pleading</w:t>
      </w:r>
      <w:r>
        <w:t xml:space="preserve"> you are amending</w:t>
      </w:r>
      <w:r w:rsidR="00C92541" w:rsidRPr="00C92541">
        <w:t xml:space="preserve"> (if it is a pleading to which no responsive pleading is required – i.e. an answer)</w:t>
      </w:r>
      <w:r w:rsidR="00037962" w:rsidRPr="00C92541">
        <w:t>; or</w:t>
      </w:r>
    </w:p>
    <w:p w:rsidR="00037962" w:rsidRPr="00C92541" w:rsidRDefault="00071617" w:rsidP="00037962">
      <w:pPr>
        <w:pStyle w:val="ListParagraph"/>
        <w:numPr>
          <w:ilvl w:val="1"/>
          <w:numId w:val="15"/>
        </w:numPr>
      </w:pPr>
      <w:r w:rsidRPr="00C92541">
        <w:lastRenderedPageBreak/>
        <w:t xml:space="preserve">(if the pleading is one to which a responsive pleading is required – i.e. a complaint, counterclaim, </w:t>
      </w:r>
      <w:proofErr w:type="spellStart"/>
      <w:r w:rsidRPr="00C92541">
        <w:t>crossclaim</w:t>
      </w:r>
      <w:proofErr w:type="spellEnd"/>
      <w:r w:rsidRPr="00C92541">
        <w:t>, 3</w:t>
      </w:r>
      <w:r w:rsidRPr="00C92541">
        <w:rPr>
          <w:vertAlign w:val="superscript"/>
        </w:rPr>
        <w:t>rd</w:t>
      </w:r>
      <w:r w:rsidRPr="00C92541">
        <w:t xml:space="preserve"> party complaint)</w:t>
      </w:r>
      <w:r>
        <w:t xml:space="preserve"> </w:t>
      </w:r>
      <w:r w:rsidR="00037962" w:rsidRPr="00C92541">
        <w:t>21 days after service of a responsive pleading or 21 days after service of a 12(b), (e), or (f)</w:t>
      </w:r>
      <w:r w:rsidR="00C92541" w:rsidRPr="00C92541">
        <w:t xml:space="preserve"> motion</w:t>
      </w:r>
      <w:r w:rsidR="00037962" w:rsidRPr="00C92541">
        <w:t>, whichever is earlier</w:t>
      </w:r>
      <w:r w:rsidR="00C92541" w:rsidRPr="00C92541">
        <w:t xml:space="preserve"> </w:t>
      </w:r>
    </w:p>
    <w:p w:rsidR="00037962" w:rsidRPr="00C92541" w:rsidRDefault="00037962" w:rsidP="00037962">
      <w:pPr>
        <w:pStyle w:val="ListParagraph"/>
        <w:numPr>
          <w:ilvl w:val="2"/>
          <w:numId w:val="15"/>
        </w:numPr>
      </w:pPr>
      <w:r w:rsidRPr="00C92541">
        <w:t>Used because you should at least once be able to redo complaint to satisfy what Δ is pointing out.</w:t>
      </w:r>
    </w:p>
    <w:p w:rsidR="00037962" w:rsidRDefault="00037962" w:rsidP="00037962">
      <w:pPr>
        <w:pStyle w:val="ListParagraph"/>
        <w:numPr>
          <w:ilvl w:val="0"/>
          <w:numId w:val="15"/>
        </w:numPr>
      </w:pPr>
      <w:r>
        <w:t>You can always amend with consent of other side or through motion of leave by court</w:t>
      </w:r>
    </w:p>
    <w:p w:rsidR="00C92541" w:rsidRDefault="00C92541" w:rsidP="00C92541">
      <w:pPr>
        <w:pStyle w:val="ListParagraph"/>
        <w:numPr>
          <w:ilvl w:val="1"/>
          <w:numId w:val="15"/>
        </w:numPr>
      </w:pPr>
      <w:r>
        <w:t>“</w:t>
      </w:r>
      <w:r w:rsidRPr="00C92541">
        <w:t>The court should freely give leave when justice so requires.</w:t>
      </w:r>
      <w:r>
        <w:t>”</w:t>
      </w:r>
    </w:p>
    <w:p w:rsidR="00037962" w:rsidRDefault="00037962" w:rsidP="00037962">
      <w:pPr>
        <w:pStyle w:val="ListParagraph"/>
        <w:numPr>
          <w:ilvl w:val="0"/>
          <w:numId w:val="15"/>
        </w:numPr>
      </w:pPr>
      <w:r>
        <w:t>Because the reliance</w:t>
      </w:r>
      <w:r w:rsidR="00071617">
        <w:t xml:space="preserve"> in federal courts</w:t>
      </w:r>
      <w:r>
        <w:t xml:space="preserve"> is on discovery, amendment has to be liberally given (you’re not going to know every detail of why the Δ is liable until after discovery)</w:t>
      </w:r>
    </w:p>
    <w:p w:rsidR="00037962" w:rsidRDefault="00037962" w:rsidP="00037962">
      <w:pPr>
        <w:pStyle w:val="ListParagraph"/>
        <w:numPr>
          <w:ilvl w:val="0"/>
          <w:numId w:val="16"/>
        </w:numPr>
      </w:pPr>
      <w:r>
        <w:t>What is considered when determining if leave should be granted to amend?</w:t>
      </w:r>
    </w:p>
    <w:p w:rsidR="00037962" w:rsidRDefault="00037962" w:rsidP="00037962">
      <w:pPr>
        <w:pStyle w:val="ListParagraph"/>
        <w:numPr>
          <w:ilvl w:val="1"/>
          <w:numId w:val="16"/>
        </w:numPr>
      </w:pPr>
      <w:r>
        <w:t xml:space="preserve">Fault </w:t>
      </w:r>
    </w:p>
    <w:p w:rsidR="00037962" w:rsidRDefault="00037962" w:rsidP="00037962">
      <w:pPr>
        <w:pStyle w:val="ListParagraph"/>
        <w:numPr>
          <w:ilvl w:val="2"/>
          <w:numId w:val="16"/>
        </w:numPr>
      </w:pPr>
      <w:r>
        <w:t xml:space="preserve">Oversight – due diligence, I should’ve known that I </w:t>
      </w:r>
      <w:r w:rsidR="00071617">
        <w:t>needed to</w:t>
      </w:r>
      <w:r>
        <w:t xml:space="preserve"> amend but did not. </w:t>
      </w:r>
    </w:p>
    <w:p w:rsidR="00037962" w:rsidRDefault="00037962" w:rsidP="00037962">
      <w:pPr>
        <w:pStyle w:val="ListParagraph"/>
        <w:numPr>
          <w:ilvl w:val="2"/>
          <w:numId w:val="16"/>
        </w:numPr>
      </w:pPr>
      <w:r>
        <w:t>The other party may have concealed some things</w:t>
      </w:r>
    </w:p>
    <w:p w:rsidR="00037962" w:rsidRDefault="00037962" w:rsidP="00037962">
      <w:pPr>
        <w:pStyle w:val="ListParagraph"/>
        <w:numPr>
          <w:ilvl w:val="2"/>
          <w:numId w:val="16"/>
        </w:numPr>
      </w:pPr>
      <w:r>
        <w:t>Bad faith</w:t>
      </w:r>
    </w:p>
    <w:p w:rsidR="00037962" w:rsidRDefault="00037962" w:rsidP="00037962">
      <w:pPr>
        <w:pStyle w:val="ListParagraph"/>
        <w:numPr>
          <w:ilvl w:val="1"/>
          <w:numId w:val="16"/>
        </w:numPr>
      </w:pPr>
      <w:r>
        <w:t>Prejudice</w:t>
      </w:r>
    </w:p>
    <w:p w:rsidR="00037962" w:rsidRDefault="00037962" w:rsidP="00037962">
      <w:pPr>
        <w:pStyle w:val="ListParagraph"/>
        <w:numPr>
          <w:ilvl w:val="2"/>
          <w:numId w:val="16"/>
        </w:numPr>
      </w:pPr>
      <w:r>
        <w:t xml:space="preserve">If a case has gone on </w:t>
      </w:r>
      <w:r w:rsidR="00C92541">
        <w:t xml:space="preserve">long enough prejudice against the party opposing amendment </w:t>
      </w:r>
      <w:r>
        <w:t>will be too great to allow amendment because they have already spent their time and resources building a particular case</w:t>
      </w:r>
      <w:r w:rsidR="00C92541">
        <w:t xml:space="preserve"> or defense and will not have adequate time to respond to the amendment</w:t>
      </w:r>
    </w:p>
    <w:p w:rsidR="00037962" w:rsidRDefault="00037962" w:rsidP="00037962">
      <w:pPr>
        <w:pStyle w:val="ListParagraph"/>
        <w:numPr>
          <w:ilvl w:val="0"/>
          <w:numId w:val="16"/>
        </w:numPr>
      </w:pPr>
      <w:r>
        <w:t>Scheduling order – Court will come up with a schedule fo</w:t>
      </w:r>
      <w:r w:rsidR="00071617">
        <w:t xml:space="preserve">r discovery. This </w:t>
      </w:r>
      <w:r>
        <w:t>usually set</w:t>
      </w:r>
      <w:r w:rsidR="00071617">
        <w:t>s</w:t>
      </w:r>
      <w:r>
        <w:t xml:space="preserve"> a termination point for amendments. Anything outside of this date would have to have a very good reason behind it</w:t>
      </w:r>
    </w:p>
    <w:p w:rsidR="00037962" w:rsidRDefault="00037962" w:rsidP="00037962">
      <w:proofErr w:type="spellStart"/>
      <w:r>
        <w:rPr>
          <w:u w:val="single"/>
        </w:rPr>
        <w:t>Beeck</w:t>
      </w:r>
      <w:proofErr w:type="spellEnd"/>
      <w:r>
        <w:rPr>
          <w:u w:val="single"/>
        </w:rPr>
        <w:t xml:space="preserve"> v </w:t>
      </w:r>
      <w:proofErr w:type="spellStart"/>
      <w:r>
        <w:rPr>
          <w:u w:val="single"/>
        </w:rPr>
        <w:t>Aquaslide</w:t>
      </w:r>
      <w:proofErr w:type="spellEnd"/>
    </w:p>
    <w:p w:rsidR="00037962" w:rsidRDefault="00037962" w:rsidP="00037962">
      <w:pPr>
        <w:pStyle w:val="ListParagraph"/>
        <w:numPr>
          <w:ilvl w:val="0"/>
          <w:numId w:val="17"/>
        </w:numPr>
      </w:pPr>
      <w:r>
        <w:t>Π gets hurt on waterslide and sues manufacturer, Δ, for his injuries</w:t>
      </w:r>
    </w:p>
    <w:p w:rsidR="00037962" w:rsidRDefault="00037962" w:rsidP="00037962">
      <w:pPr>
        <w:pStyle w:val="ListParagraph"/>
        <w:numPr>
          <w:ilvl w:val="0"/>
          <w:numId w:val="17"/>
        </w:numPr>
      </w:pPr>
      <w:r>
        <w:t>Originally Δ admitted it was their slide but they later found out the slide was a counterfeit</w:t>
      </w:r>
    </w:p>
    <w:p w:rsidR="00037962" w:rsidRDefault="00037962" w:rsidP="00037962">
      <w:pPr>
        <w:pStyle w:val="ListParagraph"/>
        <w:numPr>
          <w:ilvl w:val="0"/>
          <w:numId w:val="17"/>
        </w:numPr>
      </w:pPr>
      <w:r>
        <w:t>Δ tries to amend claim after figuring out the slide was a counterfeit</w:t>
      </w:r>
    </w:p>
    <w:p w:rsidR="00C92541" w:rsidRDefault="00C92541" w:rsidP="00037962">
      <w:pPr>
        <w:pStyle w:val="ListParagraph"/>
        <w:numPr>
          <w:ilvl w:val="0"/>
          <w:numId w:val="17"/>
        </w:numPr>
      </w:pPr>
      <w:r>
        <w:t>Trial court grants amendment</w:t>
      </w:r>
    </w:p>
    <w:p w:rsidR="00037962" w:rsidRDefault="00037962" w:rsidP="00037962">
      <w:pPr>
        <w:pStyle w:val="ListParagraph"/>
        <w:numPr>
          <w:ilvl w:val="0"/>
          <w:numId w:val="17"/>
        </w:numPr>
      </w:pPr>
      <w:r>
        <w:t xml:space="preserve">Π appealed </w:t>
      </w:r>
    </w:p>
    <w:p w:rsidR="00652370" w:rsidRDefault="00652370" w:rsidP="00652370">
      <w:pPr>
        <w:pStyle w:val="ListParagraph"/>
        <w:numPr>
          <w:ilvl w:val="1"/>
          <w:numId w:val="17"/>
        </w:numPr>
      </w:pPr>
      <w:r>
        <w:t>abuse of discretion</w:t>
      </w:r>
      <w:r w:rsidR="00071617">
        <w:t xml:space="preserve"> standard</w:t>
      </w:r>
    </w:p>
    <w:p w:rsidR="00652370" w:rsidRDefault="00652370" w:rsidP="00652370">
      <w:pPr>
        <w:pStyle w:val="ListParagraph"/>
        <w:numPr>
          <w:ilvl w:val="0"/>
          <w:numId w:val="17"/>
        </w:numPr>
      </w:pPr>
      <w:r>
        <w:t>Was there evidence of bad faith on part of Δ?  No, there was an issue with the statute of limitations, but really the people who benefited were the counterfeiters.</w:t>
      </w:r>
    </w:p>
    <w:p w:rsidR="00037962" w:rsidRDefault="00037962" w:rsidP="00037962">
      <w:pPr>
        <w:pStyle w:val="ListParagraph"/>
        <w:numPr>
          <w:ilvl w:val="0"/>
          <w:numId w:val="17"/>
        </w:numPr>
        <w:spacing w:before="240"/>
      </w:pPr>
      <w:r>
        <w:t>Not allowing an amendment would be highly prejudicial against Δ, because they would have to defend for something they didn’t make. The case had not gone on long enough for the prejudice to be too great for the π.</w:t>
      </w:r>
    </w:p>
    <w:p w:rsidR="00DD51A6" w:rsidRDefault="00DD51A6" w:rsidP="00DD51A6">
      <w:pPr>
        <w:pStyle w:val="ListParagraph"/>
        <w:numPr>
          <w:ilvl w:val="0"/>
          <w:numId w:val="17"/>
        </w:numPr>
      </w:pPr>
      <w:r>
        <w:t xml:space="preserve">On appeal, court of appeals found that allowing amendment was not an abuse of </w:t>
      </w:r>
      <w:r w:rsidR="00F9579E">
        <w:t>discretion</w:t>
      </w:r>
    </w:p>
    <w:p w:rsidR="00DD51A6" w:rsidRDefault="00DD51A6" w:rsidP="00DD51A6">
      <w:pPr>
        <w:pStyle w:val="ListParagraph"/>
        <w:ind w:left="1080"/>
      </w:pPr>
    </w:p>
    <w:p w:rsidR="00037962" w:rsidRDefault="00037962" w:rsidP="00037962">
      <w:pPr>
        <w:spacing w:before="240"/>
      </w:pPr>
      <w:r>
        <w:t>Types of Appeals</w:t>
      </w:r>
    </w:p>
    <w:p w:rsidR="00037962" w:rsidRDefault="00037962" w:rsidP="00037962">
      <w:pPr>
        <w:pStyle w:val="ListParagraph"/>
        <w:numPr>
          <w:ilvl w:val="0"/>
          <w:numId w:val="18"/>
        </w:numPr>
        <w:spacing w:before="240"/>
      </w:pPr>
      <w:r>
        <w:t xml:space="preserve">“Abuse of discretion” appeals regard </w:t>
      </w:r>
      <w:r w:rsidR="00F9579E">
        <w:t>decision where</w:t>
      </w:r>
      <w:r>
        <w:t xml:space="preserve"> trial court </w:t>
      </w:r>
      <w:r w:rsidR="00F9579E">
        <w:t xml:space="preserve">had discretion and will be reversed only if </w:t>
      </w:r>
      <w:r w:rsidR="00071617">
        <w:t>it</w:t>
      </w:r>
      <w:r w:rsidR="00F9579E">
        <w:t xml:space="preserve"> abused its discretion</w:t>
      </w:r>
      <w:r>
        <w:t>.</w:t>
      </w:r>
    </w:p>
    <w:p w:rsidR="00037962" w:rsidRDefault="00037962" w:rsidP="00037962">
      <w:pPr>
        <w:pStyle w:val="ListParagraph"/>
        <w:numPr>
          <w:ilvl w:val="1"/>
          <w:numId w:val="18"/>
        </w:numPr>
        <w:spacing w:before="240"/>
      </w:pPr>
      <w:r>
        <w:lastRenderedPageBreak/>
        <w:t xml:space="preserve">Rule 11 sanctions are one other type of </w:t>
      </w:r>
      <w:r w:rsidR="00071617">
        <w:t>decision</w:t>
      </w:r>
      <w:r>
        <w:t xml:space="preserve"> subject to the “abuse of discretion” standard on appeal.</w:t>
      </w:r>
    </w:p>
    <w:p w:rsidR="00037962" w:rsidRDefault="00037962" w:rsidP="00037962">
      <w:pPr>
        <w:pStyle w:val="ListParagraph"/>
        <w:numPr>
          <w:ilvl w:val="1"/>
          <w:numId w:val="18"/>
        </w:numPr>
        <w:spacing w:before="240"/>
      </w:pPr>
      <w:r>
        <w:t>The other is issues dealing with amendment</w:t>
      </w:r>
    </w:p>
    <w:p w:rsidR="00037962" w:rsidRDefault="00037962" w:rsidP="00037962">
      <w:pPr>
        <w:pStyle w:val="ListParagraph"/>
        <w:numPr>
          <w:ilvl w:val="0"/>
          <w:numId w:val="18"/>
        </w:numPr>
        <w:spacing w:before="240"/>
      </w:pPr>
      <w:r>
        <w:t xml:space="preserve">“De novo” appeals regard the topic freshly and the appeals court either affirms or reverses </w:t>
      </w:r>
      <w:r w:rsidR="00736421">
        <w:t>trial court’s</w:t>
      </w:r>
      <w:r>
        <w:t xml:space="preserve"> decision based on their own interpretation of the matter.</w:t>
      </w:r>
      <w:r w:rsidR="00F9579E">
        <w:t xml:space="preserve"> No deference to trial court.</w:t>
      </w:r>
    </w:p>
    <w:p w:rsidR="00037962" w:rsidRDefault="00037962" w:rsidP="00037962">
      <w:pPr>
        <w:spacing w:before="240"/>
      </w:pPr>
      <w:r>
        <w:t>Relation back</w:t>
      </w:r>
      <w:r w:rsidR="00F9579E">
        <w:t xml:space="preserve"> R 15(c)</w:t>
      </w:r>
    </w:p>
    <w:p w:rsidR="00F9579E" w:rsidRDefault="00F9579E" w:rsidP="00037962">
      <w:pPr>
        <w:pStyle w:val="ListParagraph"/>
        <w:numPr>
          <w:ilvl w:val="0"/>
          <w:numId w:val="19"/>
        </w:numPr>
      </w:pPr>
      <w:r>
        <w:t>Assume a plaintiff brings their complaint within the statute of limitations and then</w:t>
      </w:r>
      <w:r w:rsidR="00037962">
        <w:t xml:space="preserve"> amends their complaint to add another cause of action </w:t>
      </w:r>
      <w:r w:rsidR="00037962">
        <w:rPr>
          <w:i/>
        </w:rPr>
        <w:t xml:space="preserve">after the statute of limitations clock has </w:t>
      </w:r>
      <w:r>
        <w:rPr>
          <w:i/>
        </w:rPr>
        <w:t>run</w:t>
      </w:r>
      <w:r>
        <w:t xml:space="preserve"> </w:t>
      </w:r>
    </w:p>
    <w:p w:rsidR="00F9579E" w:rsidRDefault="00F9579E" w:rsidP="00037962">
      <w:pPr>
        <w:pStyle w:val="ListParagraph"/>
        <w:numPr>
          <w:ilvl w:val="0"/>
          <w:numId w:val="19"/>
        </w:numPr>
      </w:pPr>
      <w:r>
        <w:t>Is the new cause of action barred?</w:t>
      </w:r>
    </w:p>
    <w:p w:rsidR="00037962" w:rsidRDefault="00F9579E" w:rsidP="00037962">
      <w:pPr>
        <w:pStyle w:val="ListParagraph"/>
        <w:numPr>
          <w:ilvl w:val="0"/>
          <w:numId w:val="19"/>
        </w:numPr>
      </w:pPr>
      <w:r>
        <w:t xml:space="preserve">If the new </w:t>
      </w:r>
      <w:r w:rsidR="00037962">
        <w:t xml:space="preserve">action is preserved—despite being outside the statute of limitations—due to its closeness to the original cause of action, then </w:t>
      </w:r>
      <w:r w:rsidR="00736421">
        <w:t>it</w:t>
      </w:r>
      <w:r w:rsidR="00037962">
        <w:t xml:space="preserve"> is said to “relate back” to the original </w:t>
      </w:r>
      <w:r w:rsidR="00736421">
        <w:t>complaint</w:t>
      </w:r>
      <w:r w:rsidR="00037962">
        <w:t>.</w:t>
      </w:r>
    </w:p>
    <w:p w:rsidR="00F9579E" w:rsidRDefault="00037962" w:rsidP="00037962">
      <w:pPr>
        <w:pStyle w:val="ListParagraph"/>
        <w:numPr>
          <w:ilvl w:val="0"/>
          <w:numId w:val="19"/>
        </w:numPr>
      </w:pPr>
      <w:r>
        <w:t>The purpose of relation back policy is to preserve the purpose of statutes of limitations and to protect against the frustration of those purposes.</w:t>
      </w:r>
    </w:p>
    <w:p w:rsidR="00F9579E" w:rsidRDefault="00F9579E" w:rsidP="00F9579E">
      <w:pPr>
        <w:pStyle w:val="ListParagraph"/>
        <w:numPr>
          <w:ilvl w:val="1"/>
          <w:numId w:val="19"/>
        </w:numPr>
      </w:pPr>
      <w:r>
        <w:t>If relation back is allowed, it must be because the purposes of statute of limitations are not frustrated</w:t>
      </w:r>
    </w:p>
    <w:p w:rsidR="00037962" w:rsidRDefault="00037962" w:rsidP="00F9579E">
      <w:pPr>
        <w:pStyle w:val="ListParagraph"/>
        <w:numPr>
          <w:ilvl w:val="1"/>
          <w:numId w:val="19"/>
        </w:numPr>
      </w:pPr>
      <w:r>
        <w:t xml:space="preserve"> </w:t>
      </w:r>
      <w:r w:rsidR="00F9579E">
        <w:t>If there is no relation back, it must be because allowing the new action to proceed would frustrate the purposes of statute of limitations</w:t>
      </w:r>
      <w:r>
        <w:t xml:space="preserve">. </w:t>
      </w:r>
    </w:p>
    <w:p w:rsidR="00037962" w:rsidRDefault="00037962" w:rsidP="00037962">
      <w:pPr>
        <w:pStyle w:val="ListParagraph"/>
        <w:numPr>
          <w:ilvl w:val="0"/>
          <w:numId w:val="20"/>
        </w:numPr>
        <w:spacing w:before="240"/>
      </w:pPr>
      <w:r>
        <w:t>Why cond</w:t>
      </w:r>
      <w:r w:rsidR="00F9579E">
        <w:t>uct, transaction, or occurrence test for relation back?</w:t>
      </w:r>
    </w:p>
    <w:p w:rsidR="00037962" w:rsidRDefault="00037962" w:rsidP="00037962">
      <w:pPr>
        <w:pStyle w:val="ListParagraph"/>
        <w:numPr>
          <w:ilvl w:val="1"/>
          <w:numId w:val="20"/>
        </w:numPr>
        <w:spacing w:before="240"/>
      </w:pPr>
      <w:r>
        <w:t xml:space="preserve"> Issues with notice, the evidence and witnesses </w:t>
      </w:r>
      <w:r w:rsidR="00F9579E">
        <w:t xml:space="preserve">for the new action overlap with those for the original one. </w:t>
      </w:r>
      <w:r>
        <w:t xml:space="preserve"> </w:t>
      </w:r>
      <w:bookmarkStart w:id="0" w:name="_GoBack"/>
      <w:bookmarkEnd w:id="0"/>
    </w:p>
    <w:p w:rsidR="0027489D" w:rsidRDefault="0027489D"/>
    <w:sectPr w:rsidR="00274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D58"/>
    <w:multiLevelType w:val="hybridMultilevel"/>
    <w:tmpl w:val="67164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E444AD"/>
    <w:multiLevelType w:val="hybridMultilevel"/>
    <w:tmpl w:val="31BAF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E90DEA"/>
    <w:multiLevelType w:val="hybridMultilevel"/>
    <w:tmpl w:val="608084E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0E033D49"/>
    <w:multiLevelType w:val="hybridMultilevel"/>
    <w:tmpl w:val="DA80E98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4">
    <w:nsid w:val="0EFF0440"/>
    <w:multiLevelType w:val="hybridMultilevel"/>
    <w:tmpl w:val="FE00D622"/>
    <w:lvl w:ilvl="0" w:tplc="7D523216">
      <w:start w:val="1"/>
      <w:numFmt w:val="decimal"/>
      <w:lvlText w:val="(%1)"/>
      <w:lvlJc w:val="left"/>
      <w:pPr>
        <w:ind w:left="1440" w:hanging="360"/>
      </w:pPr>
      <w:rPr>
        <w:rFonts w:asciiTheme="minorHAnsi" w:eastAsiaTheme="minorHAnsi" w:hAnsiTheme="minorHAnsi" w:cstheme="minorBidi"/>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12BD0EDC"/>
    <w:multiLevelType w:val="hybridMultilevel"/>
    <w:tmpl w:val="08F608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15261198"/>
    <w:multiLevelType w:val="hybridMultilevel"/>
    <w:tmpl w:val="39303C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159816FD"/>
    <w:multiLevelType w:val="hybridMultilevel"/>
    <w:tmpl w:val="2BEA2DB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8">
    <w:nsid w:val="342E0A43"/>
    <w:multiLevelType w:val="hybridMultilevel"/>
    <w:tmpl w:val="9946A5E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5037D13"/>
    <w:multiLevelType w:val="hybridMultilevel"/>
    <w:tmpl w:val="3DBCE0A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0">
    <w:nsid w:val="3B74179F"/>
    <w:multiLevelType w:val="hybridMultilevel"/>
    <w:tmpl w:val="C7602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92C5B6D"/>
    <w:multiLevelType w:val="hybridMultilevel"/>
    <w:tmpl w:val="48507DE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2">
    <w:nsid w:val="502A2B68"/>
    <w:multiLevelType w:val="hybridMultilevel"/>
    <w:tmpl w:val="E1FC31E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5090833"/>
    <w:multiLevelType w:val="hybridMultilevel"/>
    <w:tmpl w:val="84A42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9FD079A"/>
    <w:multiLevelType w:val="hybridMultilevel"/>
    <w:tmpl w:val="B1D6D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C0F40AC"/>
    <w:multiLevelType w:val="hybridMultilevel"/>
    <w:tmpl w:val="782E1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C874C06"/>
    <w:multiLevelType w:val="hybridMultilevel"/>
    <w:tmpl w:val="C1300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E2A193A"/>
    <w:multiLevelType w:val="hybridMultilevel"/>
    <w:tmpl w:val="BE8A2EDC"/>
    <w:lvl w:ilvl="0" w:tplc="CF767A3C">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8">
    <w:nsid w:val="77223485"/>
    <w:multiLevelType w:val="hybridMultilevel"/>
    <w:tmpl w:val="02608B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7F831176"/>
    <w:multiLevelType w:val="hybridMultilevel"/>
    <w:tmpl w:val="F9583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lvlOverride w:ilvl="0"/>
    <w:lvlOverride w:ilvl="1"/>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9"/>
    <w:lvlOverride w:ilvl="0"/>
    <w:lvlOverride w:ilvl="1"/>
    <w:lvlOverride w:ilvl="2"/>
    <w:lvlOverride w:ilvl="3"/>
    <w:lvlOverride w:ilvl="4"/>
    <w:lvlOverride w:ilvl="5"/>
    <w:lvlOverride w:ilvl="6"/>
    <w:lvlOverride w:ilvl="7"/>
    <w:lvlOverride w:ilvl="8"/>
  </w:num>
  <w:num w:numId="5">
    <w:abstractNumId w:val="13"/>
    <w:lvlOverride w:ilvl="0"/>
    <w:lvlOverride w:ilvl="1"/>
    <w:lvlOverride w:ilvl="2"/>
    <w:lvlOverride w:ilvl="3"/>
    <w:lvlOverride w:ilvl="4"/>
    <w:lvlOverride w:ilvl="5"/>
    <w:lvlOverride w:ilvl="6"/>
    <w:lvlOverride w:ilvl="7"/>
    <w:lvlOverride w:ilvl="8"/>
  </w:num>
  <w:num w:numId="6">
    <w:abstractNumId w:val="12"/>
    <w:lvlOverride w:ilvl="0"/>
    <w:lvlOverride w:ilvl="1"/>
    <w:lvlOverride w:ilvl="2"/>
    <w:lvlOverride w:ilvl="3"/>
    <w:lvlOverride w:ilvl="4"/>
    <w:lvlOverride w:ilvl="5"/>
    <w:lvlOverride w:ilvl="6"/>
    <w:lvlOverride w:ilvl="7"/>
    <w:lvlOverride w:ilvl="8"/>
  </w:num>
  <w:num w:numId="7">
    <w:abstractNumId w:val="11"/>
    <w:lvlOverride w:ilvl="0"/>
    <w:lvlOverride w:ilvl="1"/>
    <w:lvlOverride w:ilvl="2"/>
    <w:lvlOverride w:ilvl="3"/>
    <w:lvlOverride w:ilvl="4"/>
    <w:lvlOverride w:ilvl="5"/>
    <w:lvlOverride w:ilvl="6"/>
    <w:lvlOverride w:ilvl="7"/>
    <w:lvlOverride w:ilvl="8"/>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lvlOverride w:ilvl="3"/>
    <w:lvlOverride w:ilvl="4"/>
    <w:lvlOverride w:ilvl="5"/>
    <w:lvlOverride w:ilvl="6"/>
    <w:lvlOverride w:ilvl="7"/>
    <w:lvlOverride w:ilvl="8"/>
  </w:num>
  <w:num w:numId="10">
    <w:abstractNumId w:val="16"/>
    <w:lvlOverride w:ilvl="0"/>
    <w:lvlOverride w:ilvl="1"/>
    <w:lvlOverride w:ilvl="2"/>
    <w:lvlOverride w:ilvl="3"/>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 w:numId="12">
    <w:abstractNumId w:val="19"/>
    <w:lvlOverride w:ilvl="0"/>
    <w:lvlOverride w:ilvl="1"/>
    <w:lvlOverride w:ilvl="2"/>
    <w:lvlOverride w:ilvl="3"/>
    <w:lvlOverride w:ilvl="4"/>
    <w:lvlOverride w:ilvl="5"/>
    <w:lvlOverride w:ilvl="6"/>
    <w:lvlOverride w:ilvl="7"/>
    <w:lvlOverride w:ilvl="8"/>
  </w:num>
  <w:num w:numId="13">
    <w:abstractNumId w:val="2"/>
    <w:lvlOverride w:ilvl="0"/>
    <w:lvlOverride w:ilvl="1"/>
    <w:lvlOverride w:ilvl="2"/>
    <w:lvlOverride w:ilvl="3"/>
    <w:lvlOverride w:ilvl="4"/>
    <w:lvlOverride w:ilvl="5"/>
    <w:lvlOverride w:ilvl="6"/>
    <w:lvlOverride w:ilvl="7"/>
    <w:lvlOverride w:ilvl="8"/>
  </w:num>
  <w:num w:numId="14">
    <w:abstractNumId w:val="5"/>
    <w:lvlOverride w:ilvl="0"/>
    <w:lvlOverride w:ilvl="1"/>
    <w:lvlOverride w:ilvl="2"/>
    <w:lvlOverride w:ilvl="3"/>
    <w:lvlOverride w:ilvl="4"/>
    <w:lvlOverride w:ilvl="5"/>
    <w:lvlOverride w:ilvl="6"/>
    <w:lvlOverride w:ilvl="7"/>
    <w:lvlOverride w:ilvl="8"/>
  </w:num>
  <w:num w:numId="15">
    <w:abstractNumId w:val="15"/>
    <w:lvlOverride w:ilvl="0"/>
    <w:lvlOverride w:ilvl="1"/>
    <w:lvlOverride w:ilvl="2"/>
    <w:lvlOverride w:ilvl="3"/>
    <w:lvlOverride w:ilvl="4"/>
    <w:lvlOverride w:ilvl="5"/>
    <w:lvlOverride w:ilvl="6"/>
    <w:lvlOverride w:ilvl="7"/>
    <w:lvlOverride w:ilvl="8"/>
  </w:num>
  <w:num w:numId="16">
    <w:abstractNumId w:val="1"/>
    <w:lvlOverride w:ilvl="0"/>
    <w:lvlOverride w:ilvl="1"/>
    <w:lvlOverride w:ilvl="2"/>
    <w:lvlOverride w:ilvl="3"/>
    <w:lvlOverride w:ilvl="4"/>
    <w:lvlOverride w:ilvl="5"/>
    <w:lvlOverride w:ilvl="6"/>
    <w:lvlOverride w:ilvl="7"/>
    <w:lvlOverride w:ilvl="8"/>
  </w:num>
  <w:num w:numId="17">
    <w:abstractNumId w:val="18"/>
    <w:lvlOverride w:ilvl="0"/>
    <w:lvlOverride w:ilvl="1"/>
    <w:lvlOverride w:ilvl="2"/>
    <w:lvlOverride w:ilvl="3"/>
    <w:lvlOverride w:ilvl="4"/>
    <w:lvlOverride w:ilvl="5"/>
    <w:lvlOverride w:ilvl="6"/>
    <w:lvlOverride w:ilvl="7"/>
    <w:lvlOverride w:ilvl="8"/>
  </w:num>
  <w:num w:numId="18">
    <w:abstractNumId w:val="7"/>
    <w:lvlOverride w:ilvl="0"/>
    <w:lvlOverride w:ilvl="1"/>
    <w:lvlOverride w:ilvl="2"/>
    <w:lvlOverride w:ilvl="3"/>
    <w:lvlOverride w:ilvl="4"/>
    <w:lvlOverride w:ilvl="5"/>
    <w:lvlOverride w:ilvl="6"/>
    <w:lvlOverride w:ilvl="7"/>
    <w:lvlOverride w:ilvl="8"/>
  </w:num>
  <w:num w:numId="19">
    <w:abstractNumId w:val="10"/>
    <w:lvlOverride w:ilvl="0"/>
    <w:lvlOverride w:ilvl="1"/>
    <w:lvlOverride w:ilvl="2"/>
    <w:lvlOverride w:ilvl="3"/>
    <w:lvlOverride w:ilvl="4"/>
    <w:lvlOverride w:ilvl="5"/>
    <w:lvlOverride w:ilvl="6"/>
    <w:lvlOverride w:ilvl="7"/>
    <w:lvlOverride w:ilvl="8"/>
  </w:num>
  <w:num w:numId="20">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962"/>
    <w:rsid w:val="00037962"/>
    <w:rsid w:val="00071617"/>
    <w:rsid w:val="001B41A7"/>
    <w:rsid w:val="0027489D"/>
    <w:rsid w:val="004572FE"/>
    <w:rsid w:val="00652370"/>
    <w:rsid w:val="00736421"/>
    <w:rsid w:val="0079782F"/>
    <w:rsid w:val="007A3CBD"/>
    <w:rsid w:val="00C92541"/>
    <w:rsid w:val="00CF363E"/>
    <w:rsid w:val="00DD51A6"/>
    <w:rsid w:val="00F9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962"/>
    <w:pPr>
      <w:spacing w:after="160"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9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962"/>
    <w:pPr>
      <w:spacing w:after="160"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78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Information Technology</cp:lastModifiedBy>
  <cp:revision>7</cp:revision>
  <cp:lastPrinted>2013-10-23T20:45:00Z</cp:lastPrinted>
  <dcterms:created xsi:type="dcterms:W3CDTF">2013-10-23T20:05:00Z</dcterms:created>
  <dcterms:modified xsi:type="dcterms:W3CDTF">2013-10-23T20:59:00Z</dcterms:modified>
</cp:coreProperties>
</file>