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810" w:rsidRDefault="00134810" w:rsidP="00134810">
      <w:pPr>
        <w:pStyle w:val="Body"/>
        <w:rPr>
          <w:rFonts w:ascii="Times New Roman" w:hAnsi="Times New Roman"/>
        </w:rPr>
      </w:pPr>
      <w:r>
        <w:rPr>
          <w:rFonts w:ascii="Times New Roman Bold" w:hAnsi="Times New Roman Bold"/>
        </w:rPr>
        <w:t>Personal jurisdiction in state court</w:t>
      </w:r>
      <w:r>
        <w:rPr>
          <w:rFonts w:ascii="Times New Roman" w:hAnsi="Times New Roman"/>
        </w:rPr>
        <w:t xml:space="preserve"> - </w:t>
      </w:r>
    </w:p>
    <w:p w:rsidR="00134810" w:rsidRDefault="00134810" w:rsidP="00134810">
      <w:pPr>
        <w:pStyle w:val="Body"/>
        <w:rPr>
          <w:rFonts w:ascii="Times New Roman" w:hAnsi="Times New Roman"/>
        </w:rPr>
      </w:pPr>
    </w:p>
    <w:p w:rsidR="00134810" w:rsidRDefault="00134810" w:rsidP="00134810">
      <w:pPr>
        <w:pStyle w:val="Body"/>
        <w:rPr>
          <w:rFonts w:ascii="Times New Roman Italic" w:hAnsi="Times New Roman Italic"/>
        </w:rPr>
      </w:pPr>
      <w:r>
        <w:rPr>
          <w:rFonts w:ascii="Times New Roman Italic" w:hAnsi="Times New Roman Italic"/>
        </w:rPr>
        <w:t>Specific Jurisdiction</w:t>
      </w:r>
    </w:p>
    <w:p w:rsidR="00134810" w:rsidRDefault="00134810" w:rsidP="00134810">
      <w:pPr>
        <w:pStyle w:val="Body"/>
        <w:rPr>
          <w:rFonts w:ascii="Times New Roman" w:hAnsi="Times New Roman"/>
        </w:rPr>
      </w:pPr>
      <w:r>
        <w:rPr>
          <w:rFonts w:ascii="Times New Roman" w:hAnsi="Times New Roman"/>
        </w:rPr>
        <w:t>Typically specific jurisdiction is not a problem.</w:t>
      </w:r>
    </w:p>
    <w:p w:rsidR="00134810" w:rsidRDefault="00134810" w:rsidP="00134810">
      <w:pPr>
        <w:pStyle w:val="Body"/>
        <w:rPr>
          <w:rFonts w:ascii="Times New Roman" w:hAnsi="Times New Roman"/>
        </w:rPr>
      </w:pPr>
      <w:r>
        <w:rPr>
          <w:rFonts w:ascii="Times New Roman" w:hAnsi="Times New Roman"/>
        </w:rPr>
        <w:t>Generally (except Chung), if a company ships a product to a state, there is specific jurisdiction</w:t>
      </w:r>
      <w:r>
        <w:rPr>
          <w:rFonts w:ascii="Times New Roman" w:hAnsi="Times New Roman"/>
        </w:rPr>
        <w:t xml:space="preserve"> in that state for causes of action concerning that product</w:t>
      </w:r>
    </w:p>
    <w:p w:rsidR="00134810" w:rsidRDefault="00134810" w:rsidP="00134810">
      <w:pPr>
        <w:pStyle w:val="Body"/>
        <w:rPr>
          <w:rFonts w:ascii="Times New Roman" w:hAnsi="Times New Roman"/>
        </w:rPr>
      </w:pPr>
    </w:p>
    <w:p w:rsidR="00134810" w:rsidRDefault="00134810" w:rsidP="00134810">
      <w:pPr>
        <w:pStyle w:val="Body"/>
        <w:numPr>
          <w:ilvl w:val="0"/>
          <w:numId w:val="1"/>
        </w:numPr>
        <w:ind w:hanging="213"/>
        <w:rPr>
          <w:rFonts w:ascii="Times New Roman Italic" w:hAnsi="Times New Roman Italic"/>
        </w:rPr>
      </w:pPr>
      <w:r>
        <w:rPr>
          <w:rFonts w:ascii="Times New Roman Italic" w:hAnsi="Times New Roman Italic"/>
        </w:rPr>
        <w:t xml:space="preserve">McIntyre Machinery, Ltd. v </w:t>
      </w:r>
      <w:proofErr w:type="spellStart"/>
      <w:r>
        <w:rPr>
          <w:rFonts w:ascii="Times New Roman Italic" w:hAnsi="Times New Roman Italic"/>
        </w:rPr>
        <w:t>Nicastro</w:t>
      </w:r>
      <w:proofErr w:type="spellEnd"/>
      <w:r>
        <w:rPr>
          <w:rFonts w:ascii="Times New Roman Italic" w:hAnsi="Times New Roman Italic"/>
        </w:rPr>
        <w:t xml:space="preserve"> - </w:t>
      </w:r>
      <w:r>
        <w:rPr>
          <w:rFonts w:ascii="Times New Roman" w:hAnsi="Times New Roman"/>
        </w:rPr>
        <w:t>continued from 10/7</w:t>
      </w:r>
    </w:p>
    <w:p w:rsidR="00134810" w:rsidRDefault="00134810" w:rsidP="00134810">
      <w:pPr>
        <w:pStyle w:val="Body"/>
        <w:numPr>
          <w:ilvl w:val="0"/>
          <w:numId w:val="2"/>
        </w:numPr>
        <w:ind w:hanging="180"/>
        <w:rPr>
          <w:rFonts w:ascii="Times New Roman" w:hAnsi="Times New Roman"/>
          <w:position w:val="-2"/>
        </w:rPr>
      </w:pPr>
      <w:r>
        <w:rPr>
          <w:rFonts w:ascii="Times New Roman" w:hAnsi="Times New Roman"/>
        </w:rPr>
        <w:t>McIntyre USA was serving as a shield in an attempt to prevent PJ over McIntyre UK</w:t>
      </w:r>
    </w:p>
    <w:p w:rsidR="00134810" w:rsidRDefault="00134810" w:rsidP="00134810">
      <w:pPr>
        <w:pStyle w:val="Body"/>
        <w:numPr>
          <w:ilvl w:val="0"/>
          <w:numId w:val="2"/>
        </w:numPr>
        <w:ind w:hanging="180"/>
        <w:rPr>
          <w:rFonts w:ascii="Times New Roman" w:hAnsi="Times New Roman"/>
          <w:position w:val="-2"/>
        </w:rPr>
      </w:pPr>
      <w:r>
        <w:rPr>
          <w:rFonts w:ascii="Times New Roman" w:hAnsi="Times New Roman"/>
        </w:rPr>
        <w:t>Contacts between McIntyre UK and NJ</w:t>
      </w:r>
    </w:p>
    <w:p w:rsidR="00134810" w:rsidRDefault="00134810" w:rsidP="00134810">
      <w:pPr>
        <w:pStyle w:val="Body"/>
        <w:numPr>
          <w:ilvl w:val="1"/>
          <w:numId w:val="2"/>
        </w:numPr>
        <w:tabs>
          <w:tab w:val="clear" w:pos="180"/>
          <w:tab w:val="num" w:pos="540"/>
        </w:tabs>
        <w:ind w:left="540" w:hanging="180"/>
        <w:rPr>
          <w:rFonts w:ascii="Times New Roman" w:hAnsi="Times New Roman"/>
          <w:position w:val="-2"/>
        </w:rPr>
      </w:pPr>
      <w:r>
        <w:rPr>
          <w:rFonts w:ascii="Times New Roman" w:hAnsi="Times New Roman"/>
        </w:rPr>
        <w:t>maybe 4 machines, only proof of the one in this case</w:t>
      </w:r>
    </w:p>
    <w:p w:rsidR="00134810" w:rsidRDefault="00134810" w:rsidP="00134810">
      <w:pPr>
        <w:pStyle w:val="Body"/>
        <w:numPr>
          <w:ilvl w:val="1"/>
          <w:numId w:val="2"/>
        </w:numPr>
        <w:tabs>
          <w:tab w:val="clear" w:pos="180"/>
          <w:tab w:val="num" w:pos="540"/>
        </w:tabs>
        <w:ind w:left="540" w:hanging="180"/>
        <w:rPr>
          <w:rFonts w:ascii="Times New Roman" w:hAnsi="Times New Roman"/>
          <w:position w:val="-2"/>
        </w:rPr>
      </w:pPr>
      <w:r>
        <w:rPr>
          <w:rFonts w:ascii="Times New Roman" w:hAnsi="Times New Roman"/>
        </w:rPr>
        <w:t>McIntyre UK has a desire to serve US as a whole - go to trade shows in various states but not NJ</w:t>
      </w:r>
    </w:p>
    <w:p w:rsidR="00134810" w:rsidRDefault="00134810" w:rsidP="00134810">
      <w:pPr>
        <w:pStyle w:val="Body"/>
        <w:rPr>
          <w:rFonts w:ascii="Times New Roman" w:hAnsi="Times New Roman"/>
        </w:rPr>
      </w:pPr>
    </w:p>
    <w:p w:rsidR="00134810" w:rsidRDefault="00134810" w:rsidP="00134810">
      <w:pPr>
        <w:pStyle w:val="Body"/>
        <w:rPr>
          <w:rFonts w:ascii="Times New Roman" w:hAnsi="Times New Roman"/>
        </w:rPr>
      </w:pPr>
      <w:r>
        <w:rPr>
          <w:rFonts w:ascii="Times New Roman" w:hAnsi="Times New Roman"/>
        </w:rPr>
        <w:t>Kennedy - like O’Connor from Asahi</w:t>
      </w:r>
    </w:p>
    <w:p w:rsidR="00134810" w:rsidRDefault="00134810" w:rsidP="00134810">
      <w:pPr>
        <w:pStyle w:val="Body"/>
        <w:rPr>
          <w:rFonts w:ascii="Times New Roman" w:hAnsi="Times New Roman"/>
        </w:rPr>
      </w:pPr>
      <w:r>
        <w:rPr>
          <w:rFonts w:ascii="Times New Roman" w:hAnsi="Times New Roman"/>
        </w:rPr>
        <w:t>Even if there is a regular flow of product into a forum state through an intermediary, there must be some other act demonstrating express intent to serve forum state by the manufacturer in order to give forum state power of PJ.</w:t>
      </w:r>
    </w:p>
    <w:p w:rsidR="00767B3B" w:rsidRDefault="00767B3B" w:rsidP="00134810">
      <w:pPr>
        <w:pStyle w:val="Body"/>
        <w:rPr>
          <w:rFonts w:ascii="Times New Roman" w:hAnsi="Times New Roman"/>
        </w:rPr>
      </w:pPr>
    </w:p>
    <w:p w:rsidR="00134810" w:rsidRDefault="00134810" w:rsidP="00134810">
      <w:pPr>
        <w:pStyle w:val="Body"/>
        <w:rPr>
          <w:rFonts w:ascii="Times New Roman" w:hAnsi="Times New Roman"/>
        </w:rPr>
      </w:pPr>
      <w:r>
        <w:rPr>
          <w:rFonts w:ascii="Times New Roman" w:hAnsi="Times New Roman"/>
        </w:rPr>
        <w:t xml:space="preserve">McGee Factors - </w:t>
      </w:r>
    </w:p>
    <w:p w:rsidR="00134810" w:rsidRDefault="00134810" w:rsidP="00134810">
      <w:pPr>
        <w:pStyle w:val="Body"/>
        <w:numPr>
          <w:ilvl w:val="0"/>
          <w:numId w:val="2"/>
        </w:numPr>
        <w:ind w:hanging="180"/>
        <w:rPr>
          <w:rFonts w:ascii="Times New Roman" w:hAnsi="Times New Roman"/>
          <w:position w:val="-2"/>
        </w:rPr>
      </w:pPr>
      <w:r>
        <w:rPr>
          <w:rFonts w:ascii="Times New Roman" w:hAnsi="Times New Roman"/>
        </w:rPr>
        <w:t xml:space="preserve">Kennedy does not care about McGee factors because there is no power for NJ to assert PJ; although, McGee factors are strong in this case.  </w:t>
      </w:r>
    </w:p>
    <w:p w:rsidR="00134810" w:rsidRDefault="00134810" w:rsidP="00134810">
      <w:pPr>
        <w:pStyle w:val="Body"/>
        <w:numPr>
          <w:ilvl w:val="1"/>
          <w:numId w:val="2"/>
        </w:numPr>
        <w:tabs>
          <w:tab w:val="clear" w:pos="180"/>
          <w:tab w:val="num" w:pos="540"/>
        </w:tabs>
        <w:ind w:left="540" w:hanging="180"/>
        <w:rPr>
          <w:rFonts w:ascii="Times New Roman" w:hAnsi="Times New Roman"/>
          <w:position w:val="-2"/>
        </w:rPr>
      </w:pPr>
      <w:r>
        <w:rPr>
          <w:rFonts w:ascii="Times New Roman" w:hAnsi="Times New Roman"/>
        </w:rPr>
        <w:t>Many witnesses are in NJ</w:t>
      </w:r>
    </w:p>
    <w:p w:rsidR="00134810" w:rsidRDefault="00134810" w:rsidP="00134810">
      <w:pPr>
        <w:pStyle w:val="Body"/>
        <w:numPr>
          <w:ilvl w:val="1"/>
          <w:numId w:val="2"/>
        </w:numPr>
        <w:tabs>
          <w:tab w:val="clear" w:pos="180"/>
          <w:tab w:val="num" w:pos="540"/>
        </w:tabs>
        <w:ind w:left="540" w:hanging="180"/>
        <w:rPr>
          <w:rFonts w:ascii="Times New Roman" w:hAnsi="Times New Roman"/>
          <w:position w:val="-2"/>
        </w:rPr>
      </w:pPr>
      <w:r>
        <w:rPr>
          <w:rFonts w:ascii="Times New Roman" w:hAnsi="Times New Roman"/>
        </w:rPr>
        <w:t>Heavy burden on P to go to Great Britain for litigation</w:t>
      </w:r>
    </w:p>
    <w:p w:rsidR="00134810" w:rsidRPr="00767B3B" w:rsidRDefault="00134810" w:rsidP="00134810">
      <w:pPr>
        <w:pStyle w:val="Body"/>
        <w:numPr>
          <w:ilvl w:val="1"/>
          <w:numId w:val="2"/>
        </w:numPr>
        <w:tabs>
          <w:tab w:val="clear" w:pos="180"/>
          <w:tab w:val="num" w:pos="540"/>
        </w:tabs>
        <w:ind w:left="540" w:hanging="180"/>
        <w:rPr>
          <w:rFonts w:ascii="Times New Roman" w:hAnsi="Times New Roman"/>
          <w:position w:val="-2"/>
        </w:rPr>
      </w:pPr>
      <w:r>
        <w:rPr>
          <w:rFonts w:ascii="Times New Roman" w:hAnsi="Times New Roman"/>
        </w:rPr>
        <w:t>Not as heavy a burden on D to go to NJ</w:t>
      </w:r>
    </w:p>
    <w:p w:rsidR="00767B3B" w:rsidRDefault="00767B3B" w:rsidP="00134810">
      <w:pPr>
        <w:pStyle w:val="Body"/>
        <w:numPr>
          <w:ilvl w:val="1"/>
          <w:numId w:val="2"/>
        </w:numPr>
        <w:tabs>
          <w:tab w:val="clear" w:pos="180"/>
          <w:tab w:val="num" w:pos="540"/>
        </w:tabs>
        <w:ind w:left="540" w:hanging="180"/>
        <w:rPr>
          <w:rFonts w:ascii="Times New Roman" w:hAnsi="Times New Roman"/>
          <w:position w:val="-2"/>
        </w:rPr>
      </w:pPr>
      <w:r>
        <w:rPr>
          <w:rFonts w:ascii="Times New Roman" w:hAnsi="Times New Roman"/>
        </w:rPr>
        <w:t>NJ interest (and probably NJ law will apply)</w:t>
      </w:r>
    </w:p>
    <w:p w:rsidR="00767B3B" w:rsidRDefault="00767B3B" w:rsidP="00134810">
      <w:pPr>
        <w:pStyle w:val="Body"/>
        <w:rPr>
          <w:rFonts w:ascii="Times New Roman" w:hAnsi="Times New Roman"/>
        </w:rPr>
      </w:pPr>
    </w:p>
    <w:p w:rsidR="00134810" w:rsidRDefault="00134810" w:rsidP="00134810">
      <w:pPr>
        <w:pStyle w:val="Body"/>
        <w:rPr>
          <w:rFonts w:ascii="Times New Roman" w:hAnsi="Times New Roman"/>
        </w:rPr>
      </w:pPr>
      <w:r>
        <w:rPr>
          <w:rFonts w:ascii="Times New Roman" w:hAnsi="Times New Roman"/>
        </w:rPr>
        <w:t>Breyer - like Stevens</w:t>
      </w:r>
    </w:p>
    <w:p w:rsidR="00134810" w:rsidRDefault="00134810" w:rsidP="00134810">
      <w:pPr>
        <w:pStyle w:val="Body"/>
        <w:rPr>
          <w:rFonts w:ascii="Times New Roman" w:hAnsi="Times New Roman"/>
        </w:rPr>
      </w:pPr>
      <w:r>
        <w:rPr>
          <w:rFonts w:ascii="Times New Roman" w:hAnsi="Times New Roman"/>
        </w:rPr>
        <w:t xml:space="preserve">In this case, there was not a regular flow and </w:t>
      </w:r>
      <w:r w:rsidR="00071415">
        <w:rPr>
          <w:rFonts w:ascii="Times New Roman" w:hAnsi="Times New Roman"/>
        </w:rPr>
        <w:t xml:space="preserve">thus </w:t>
      </w:r>
      <w:r>
        <w:rPr>
          <w:rFonts w:ascii="Times New Roman" w:hAnsi="Times New Roman"/>
        </w:rPr>
        <w:t>something more is necessary</w:t>
      </w:r>
      <w:r w:rsidR="00071415">
        <w:rPr>
          <w:rFonts w:ascii="Times New Roman" w:hAnsi="Times New Roman"/>
        </w:rPr>
        <w:t xml:space="preserve"> to show intent to serve NJ</w:t>
      </w:r>
      <w:r>
        <w:rPr>
          <w:rFonts w:ascii="Times New Roman" w:hAnsi="Times New Roman"/>
        </w:rPr>
        <w:t>, but a regular flow into a forum state with knowledge that product will make its way into forum state would be sufficient for PJ</w:t>
      </w:r>
    </w:p>
    <w:p w:rsidR="00071415" w:rsidRDefault="00071415" w:rsidP="00134810">
      <w:pPr>
        <w:pStyle w:val="Body"/>
        <w:rPr>
          <w:rFonts w:ascii="Times New Roman" w:hAnsi="Times New Roman"/>
        </w:rPr>
      </w:pPr>
    </w:p>
    <w:p w:rsidR="00134810" w:rsidRDefault="00134810" w:rsidP="00134810">
      <w:pPr>
        <w:pStyle w:val="Body"/>
        <w:rPr>
          <w:rFonts w:ascii="Times New Roman" w:hAnsi="Times New Roman"/>
        </w:rPr>
      </w:pPr>
      <w:r>
        <w:rPr>
          <w:rFonts w:ascii="Times New Roman" w:hAnsi="Times New Roman"/>
        </w:rPr>
        <w:t xml:space="preserve">McGee Factors - </w:t>
      </w:r>
    </w:p>
    <w:p w:rsidR="00134810" w:rsidRDefault="00134810" w:rsidP="00134810">
      <w:pPr>
        <w:pStyle w:val="Body"/>
        <w:numPr>
          <w:ilvl w:val="0"/>
          <w:numId w:val="2"/>
        </w:numPr>
        <w:ind w:hanging="180"/>
        <w:rPr>
          <w:rFonts w:ascii="Times New Roman" w:hAnsi="Times New Roman"/>
          <w:position w:val="-2"/>
        </w:rPr>
      </w:pPr>
      <w:r>
        <w:rPr>
          <w:rFonts w:ascii="Times New Roman" w:hAnsi="Times New Roman"/>
        </w:rPr>
        <w:t>Worried about small D’s who send product through intermediaries</w:t>
      </w:r>
    </w:p>
    <w:p w:rsidR="00134810" w:rsidRDefault="00071415" w:rsidP="00134810">
      <w:pPr>
        <w:pStyle w:val="Body"/>
        <w:numPr>
          <w:ilvl w:val="1"/>
          <w:numId w:val="2"/>
        </w:numPr>
        <w:tabs>
          <w:tab w:val="clear" w:pos="180"/>
          <w:tab w:val="num" w:pos="540"/>
        </w:tabs>
        <w:ind w:left="540" w:hanging="180"/>
        <w:rPr>
          <w:rFonts w:ascii="Times New Roman" w:hAnsi="Times New Roman"/>
          <w:position w:val="-2"/>
        </w:rPr>
      </w:pPr>
      <w:r>
        <w:rPr>
          <w:rFonts w:ascii="Times New Roman" w:hAnsi="Times New Roman"/>
        </w:rPr>
        <w:t xml:space="preserve">One way of reading this is that he thinks </w:t>
      </w:r>
      <w:r w:rsidR="00134810">
        <w:rPr>
          <w:rFonts w:ascii="Times New Roman" w:hAnsi="Times New Roman"/>
        </w:rPr>
        <w:t>there are instances with small D’s where even if there is a regular flow of product into a state, McGee factors will make burden on D so burdensome that PJ in a that state would be unreasonable</w:t>
      </w:r>
    </w:p>
    <w:p w:rsidR="00134810" w:rsidRDefault="00134810" w:rsidP="00134810">
      <w:pPr>
        <w:pStyle w:val="Body"/>
        <w:rPr>
          <w:rFonts w:ascii="Times New Roman" w:hAnsi="Times New Roman"/>
        </w:rPr>
      </w:pPr>
    </w:p>
    <w:p w:rsidR="00134810" w:rsidRDefault="00134810" w:rsidP="00134810">
      <w:pPr>
        <w:pStyle w:val="Body"/>
        <w:rPr>
          <w:rFonts w:ascii="Times New Roman" w:hAnsi="Times New Roman"/>
        </w:rPr>
      </w:pPr>
      <w:r>
        <w:rPr>
          <w:rFonts w:ascii="Times New Roman" w:hAnsi="Times New Roman"/>
        </w:rPr>
        <w:t xml:space="preserve">Ginsberg - </w:t>
      </w:r>
    </w:p>
    <w:p w:rsidR="00134810" w:rsidRDefault="00134810" w:rsidP="00134810">
      <w:pPr>
        <w:pStyle w:val="Body"/>
        <w:rPr>
          <w:rFonts w:ascii="Times New Roman" w:hAnsi="Times New Roman"/>
        </w:rPr>
      </w:pPr>
      <w:r>
        <w:rPr>
          <w:rFonts w:ascii="Times New Roman" w:hAnsi="Times New Roman"/>
        </w:rPr>
        <w:t>When there is a foreign D, the only requirement for PJ in a state where harm occurred, the only intent necessary is the intent for manufacturer to serve the US market as a whole.</w:t>
      </w:r>
    </w:p>
    <w:p w:rsidR="00134810" w:rsidRDefault="00134810" w:rsidP="00134810">
      <w:pPr>
        <w:pStyle w:val="Body"/>
        <w:numPr>
          <w:ilvl w:val="1"/>
          <w:numId w:val="2"/>
        </w:numPr>
        <w:tabs>
          <w:tab w:val="clear" w:pos="180"/>
          <w:tab w:val="num" w:pos="540"/>
        </w:tabs>
        <w:ind w:left="540" w:hanging="180"/>
        <w:rPr>
          <w:rFonts w:ascii="Times New Roman" w:hAnsi="Times New Roman"/>
          <w:position w:val="-2"/>
        </w:rPr>
      </w:pPr>
      <w:r>
        <w:rPr>
          <w:rFonts w:ascii="Times New Roman" w:hAnsi="Times New Roman"/>
        </w:rPr>
        <w:t>Taking PJ over foreign D’s would take sovereignty from another state; however, if the issue is an interstate issue (as opposed to one with a foreign manufacturer) there is an issue of state sovereignty</w:t>
      </w:r>
    </w:p>
    <w:p w:rsidR="00134810" w:rsidRDefault="00134810" w:rsidP="00134810">
      <w:pPr>
        <w:pStyle w:val="Body"/>
        <w:numPr>
          <w:ilvl w:val="2"/>
          <w:numId w:val="2"/>
        </w:numPr>
        <w:tabs>
          <w:tab w:val="clear" w:pos="180"/>
          <w:tab w:val="num" w:pos="900"/>
        </w:tabs>
        <w:ind w:left="900" w:hanging="180"/>
        <w:rPr>
          <w:rFonts w:ascii="Times New Roman" w:hAnsi="Times New Roman"/>
          <w:position w:val="-2"/>
        </w:rPr>
      </w:pPr>
      <w:r>
        <w:rPr>
          <w:rFonts w:ascii="Times New Roman" w:hAnsi="Times New Roman"/>
        </w:rPr>
        <w:t>Any situation with a foreign D interstate federalism issues do not arise, so it is sufficient that D intended to serve US as a whole</w:t>
      </w:r>
    </w:p>
    <w:p w:rsidR="00134810" w:rsidRDefault="00134810" w:rsidP="00134810">
      <w:pPr>
        <w:pStyle w:val="Body"/>
        <w:rPr>
          <w:rFonts w:ascii="Times New Roman" w:hAnsi="Times New Roman"/>
        </w:rPr>
      </w:pPr>
      <w:r>
        <w:rPr>
          <w:rFonts w:ascii="Times New Roman" w:hAnsi="Times New Roman"/>
        </w:rPr>
        <w:lastRenderedPageBreak/>
        <w:t>McGee Factors -</w:t>
      </w:r>
    </w:p>
    <w:p w:rsidR="00134810" w:rsidRDefault="00134810" w:rsidP="00134810">
      <w:pPr>
        <w:pStyle w:val="Body"/>
        <w:rPr>
          <w:rFonts w:ascii="Times New Roman" w:hAnsi="Times New Roman"/>
        </w:rPr>
      </w:pPr>
      <w:r>
        <w:rPr>
          <w:rFonts w:ascii="Times New Roman" w:hAnsi="Times New Roman"/>
        </w:rPr>
        <w:t>Because McGee factors are strong, they support NJ’s power to assert PJ</w:t>
      </w:r>
    </w:p>
    <w:p w:rsidR="00134810" w:rsidRDefault="00134810" w:rsidP="00134810">
      <w:pPr>
        <w:pStyle w:val="Body"/>
        <w:rPr>
          <w:rFonts w:ascii="Times New Roman" w:hAnsi="Times New Roman"/>
        </w:rPr>
      </w:pPr>
    </w:p>
    <w:p w:rsidR="00134810" w:rsidRDefault="00134810" w:rsidP="00134810">
      <w:pPr>
        <w:pStyle w:val="Body"/>
        <w:rPr>
          <w:rFonts w:ascii="Times New Roman" w:hAnsi="Times New Roman"/>
        </w:rPr>
      </w:pPr>
      <w:r>
        <w:rPr>
          <w:rFonts w:ascii="Times New Roman" w:hAnsi="Times New Roman"/>
        </w:rPr>
        <w:t xml:space="preserve">What law does </w:t>
      </w:r>
      <w:r>
        <w:rPr>
          <w:rFonts w:ascii="Times New Roman Italic" w:hAnsi="Times New Roman Italic"/>
        </w:rPr>
        <w:t>McIntyre</w:t>
      </w:r>
      <w:r>
        <w:rPr>
          <w:rFonts w:ascii="Times New Roman" w:hAnsi="Times New Roman"/>
        </w:rPr>
        <w:t xml:space="preserve"> create?</w:t>
      </w:r>
    </w:p>
    <w:p w:rsidR="00134810" w:rsidRDefault="00134810" w:rsidP="00134810">
      <w:pPr>
        <w:pStyle w:val="Body"/>
        <w:numPr>
          <w:ilvl w:val="0"/>
          <w:numId w:val="2"/>
        </w:numPr>
        <w:ind w:hanging="180"/>
        <w:rPr>
          <w:rFonts w:ascii="Times New Roman" w:hAnsi="Times New Roman"/>
          <w:position w:val="-2"/>
        </w:rPr>
      </w:pPr>
      <w:r>
        <w:rPr>
          <w:rFonts w:ascii="Times New Roman" w:hAnsi="Times New Roman"/>
        </w:rPr>
        <w:t>Breyer’s opinion is the holding in the case because it is the narrowest interpretation of why there is no PJ</w:t>
      </w:r>
    </w:p>
    <w:p w:rsidR="00134810" w:rsidRDefault="00134810" w:rsidP="00134810">
      <w:pPr>
        <w:pStyle w:val="Body"/>
        <w:numPr>
          <w:ilvl w:val="1"/>
          <w:numId w:val="2"/>
        </w:numPr>
        <w:tabs>
          <w:tab w:val="clear" w:pos="180"/>
          <w:tab w:val="num" w:pos="540"/>
        </w:tabs>
        <w:ind w:left="540" w:hanging="180"/>
        <w:rPr>
          <w:rFonts w:ascii="Times New Roman" w:hAnsi="Times New Roman"/>
          <w:position w:val="-2"/>
        </w:rPr>
      </w:pPr>
      <w:r>
        <w:rPr>
          <w:rFonts w:ascii="Times New Roman" w:hAnsi="Times New Roman"/>
        </w:rPr>
        <w:t xml:space="preserve">Theory is that generally PJ exists when there is a regular flow of a product into a forum state with knowledge that the product will make its way into that state.  If there is not a regular flow, something more </w:t>
      </w:r>
      <w:r w:rsidR="00071415">
        <w:rPr>
          <w:rFonts w:ascii="Times New Roman" w:hAnsi="Times New Roman"/>
        </w:rPr>
        <w:t xml:space="preserve">showing an intent to serve the forum state </w:t>
      </w:r>
      <w:r>
        <w:rPr>
          <w:rFonts w:ascii="Times New Roman" w:hAnsi="Times New Roman"/>
        </w:rPr>
        <w:t>would be required to establish PJ.</w:t>
      </w:r>
    </w:p>
    <w:p w:rsidR="00134810" w:rsidRDefault="00134810" w:rsidP="00134810">
      <w:pPr>
        <w:pStyle w:val="Body"/>
        <w:rPr>
          <w:rFonts w:ascii="Times New Roman" w:hAnsi="Times New Roman"/>
        </w:rPr>
      </w:pPr>
    </w:p>
    <w:p w:rsidR="00134810" w:rsidRDefault="00134810" w:rsidP="00134810">
      <w:pPr>
        <w:pStyle w:val="Body"/>
        <w:rPr>
          <w:rFonts w:ascii="Times New Roman" w:hAnsi="Times New Roman"/>
        </w:rPr>
      </w:pPr>
      <w:r>
        <w:rPr>
          <w:rFonts w:ascii="Times New Roman" w:hAnsi="Times New Roman"/>
        </w:rPr>
        <w:t xml:space="preserve">In </w:t>
      </w:r>
      <w:r>
        <w:rPr>
          <w:rFonts w:ascii="Times New Roman Italic" w:hAnsi="Times New Roman Italic"/>
        </w:rPr>
        <w:t>McIntyre</w:t>
      </w:r>
      <w:r>
        <w:rPr>
          <w:rFonts w:ascii="Times New Roman" w:hAnsi="Times New Roman"/>
        </w:rPr>
        <w:t xml:space="preserve"> there is SMJ in federal court using diversity; however, federal court can only assert PJ over D if the state court does not have PJ, unless P is suing under federal law.</w:t>
      </w:r>
    </w:p>
    <w:p w:rsidR="00134810" w:rsidRDefault="00134810" w:rsidP="00134810">
      <w:pPr>
        <w:pStyle w:val="Body"/>
        <w:rPr>
          <w:rFonts w:ascii="Times New Roman" w:hAnsi="Times New Roman"/>
        </w:rPr>
      </w:pPr>
    </w:p>
    <w:p w:rsidR="00134810" w:rsidRDefault="00134810" w:rsidP="00134810">
      <w:pPr>
        <w:pStyle w:val="Body"/>
        <w:rPr>
          <w:rFonts w:ascii="Times New Roman Italic" w:hAnsi="Times New Roman Italic"/>
        </w:rPr>
      </w:pPr>
      <w:r>
        <w:rPr>
          <w:rFonts w:ascii="Times New Roman Italic" w:hAnsi="Times New Roman Italic"/>
        </w:rPr>
        <w:t>Quasi in rem</w:t>
      </w:r>
    </w:p>
    <w:p w:rsidR="00134810" w:rsidRDefault="00134810" w:rsidP="00134810">
      <w:pPr>
        <w:pStyle w:val="Body"/>
        <w:rPr>
          <w:rFonts w:ascii="Times New Roman" w:hAnsi="Times New Roman"/>
        </w:rPr>
      </w:pPr>
      <w:r>
        <w:rPr>
          <w:rFonts w:ascii="Times New Roman" w:hAnsi="Times New Roman"/>
        </w:rPr>
        <w:t xml:space="preserve">After International Shoe, what is the status of the old methods of PJ under </w:t>
      </w:r>
      <w:proofErr w:type="spellStart"/>
      <w:r>
        <w:rPr>
          <w:rFonts w:ascii="Times New Roman" w:hAnsi="Times New Roman"/>
        </w:rPr>
        <w:t>Pennoyer</w:t>
      </w:r>
      <w:proofErr w:type="spellEnd"/>
      <w:r>
        <w:rPr>
          <w:rFonts w:ascii="Times New Roman" w:hAnsi="Times New Roman"/>
        </w:rPr>
        <w:t xml:space="preserve"> Framework?</w:t>
      </w:r>
    </w:p>
    <w:p w:rsidR="00134810" w:rsidRDefault="00134810" w:rsidP="00134810">
      <w:pPr>
        <w:pStyle w:val="Body"/>
        <w:rPr>
          <w:rFonts w:ascii="Times New Roman" w:hAnsi="Times New Roman"/>
        </w:rPr>
      </w:pPr>
    </w:p>
    <w:p w:rsidR="00134810" w:rsidRDefault="00134810" w:rsidP="00134810">
      <w:pPr>
        <w:pStyle w:val="Body"/>
        <w:rPr>
          <w:rFonts w:ascii="Times New Roman Italic" w:hAnsi="Times New Roman Italic"/>
        </w:rPr>
      </w:pPr>
      <w:r>
        <w:rPr>
          <w:rFonts w:ascii="Times New Roman Italic" w:hAnsi="Times New Roman Italic"/>
        </w:rPr>
        <w:t xml:space="preserve">Schafer v. </w:t>
      </w:r>
      <w:proofErr w:type="spellStart"/>
      <w:r>
        <w:rPr>
          <w:rFonts w:ascii="Times New Roman Italic" w:hAnsi="Times New Roman Italic"/>
        </w:rPr>
        <w:t>Heitner</w:t>
      </w:r>
      <w:proofErr w:type="spellEnd"/>
      <w:r>
        <w:rPr>
          <w:rFonts w:ascii="Times New Roman Italic" w:hAnsi="Times New Roman Italic"/>
        </w:rPr>
        <w:t xml:space="preserve"> (1977)</w:t>
      </w:r>
    </w:p>
    <w:p w:rsidR="00134810" w:rsidRDefault="00134810" w:rsidP="00134810">
      <w:pPr>
        <w:pStyle w:val="Body"/>
        <w:numPr>
          <w:ilvl w:val="0"/>
          <w:numId w:val="2"/>
        </w:numPr>
        <w:ind w:hanging="180"/>
        <w:rPr>
          <w:rFonts w:ascii="Times New Roman" w:hAnsi="Times New Roman"/>
          <w:position w:val="-2"/>
        </w:rPr>
      </w:pPr>
      <w:r>
        <w:rPr>
          <w:rFonts w:ascii="Times New Roman" w:hAnsi="Times New Roman"/>
        </w:rPr>
        <w:t>Shareholder’s derivative action - shareholder has a right to file a suit on behalf of the company if there is a cause of action the corp. should be bringing, but the officers and directors are not bringing the action (usually because the cause of action is against the officers and directors themselves)</w:t>
      </w:r>
    </w:p>
    <w:p w:rsidR="00134810" w:rsidRDefault="00134810" w:rsidP="00134810">
      <w:pPr>
        <w:pStyle w:val="Body"/>
        <w:numPr>
          <w:ilvl w:val="0"/>
          <w:numId w:val="2"/>
        </w:numPr>
        <w:ind w:hanging="180"/>
        <w:rPr>
          <w:rFonts w:ascii="Times New Roman" w:hAnsi="Times New Roman"/>
          <w:position w:val="-2"/>
        </w:rPr>
      </w:pPr>
      <w:r>
        <w:rPr>
          <w:rFonts w:ascii="Times New Roman" w:hAnsi="Times New Roman"/>
        </w:rPr>
        <w:t>Wrongdoing occurred in Oregon, action is being brought in Delaware state court, officers and directors live mostly in Arizona and California</w:t>
      </w:r>
    </w:p>
    <w:p w:rsidR="00134810" w:rsidRDefault="00134810" w:rsidP="00134810">
      <w:pPr>
        <w:pStyle w:val="Body"/>
        <w:numPr>
          <w:ilvl w:val="0"/>
          <w:numId w:val="2"/>
        </w:numPr>
        <w:ind w:hanging="180"/>
        <w:rPr>
          <w:rFonts w:ascii="Times New Roman" w:hAnsi="Times New Roman"/>
          <w:position w:val="-2"/>
        </w:rPr>
      </w:pPr>
      <w:r>
        <w:rPr>
          <w:rFonts w:ascii="Times New Roman" w:hAnsi="Times New Roman"/>
        </w:rPr>
        <w:t xml:space="preserve">The source of PJ is property (shares) </w:t>
      </w:r>
      <w:r w:rsidR="00F52F53">
        <w:rPr>
          <w:rFonts w:ascii="Times New Roman" w:hAnsi="Times New Roman"/>
        </w:rPr>
        <w:t>considered (by Delaware law) to be located in Delaware</w:t>
      </w:r>
    </w:p>
    <w:p w:rsidR="00134810" w:rsidRDefault="00134810" w:rsidP="00134810">
      <w:pPr>
        <w:pStyle w:val="Body"/>
        <w:numPr>
          <w:ilvl w:val="0"/>
          <w:numId w:val="2"/>
        </w:numPr>
        <w:ind w:hanging="180"/>
        <w:rPr>
          <w:rFonts w:ascii="Times New Roman" w:hAnsi="Times New Roman"/>
          <w:position w:val="-2"/>
        </w:rPr>
      </w:pPr>
      <w:r>
        <w:rPr>
          <w:rFonts w:ascii="Times New Roman" w:hAnsi="Times New Roman"/>
        </w:rPr>
        <w:t xml:space="preserve">Form of notice was through certified mail and newspaper publications which satisfies </w:t>
      </w:r>
      <w:proofErr w:type="spellStart"/>
      <w:r>
        <w:rPr>
          <w:rFonts w:ascii="Times New Roman Italic" w:hAnsi="Times New Roman Italic"/>
        </w:rPr>
        <w:t>Mullane</w:t>
      </w:r>
      <w:proofErr w:type="spellEnd"/>
      <w:r>
        <w:rPr>
          <w:rFonts w:ascii="Times New Roman" w:hAnsi="Times New Roman"/>
        </w:rPr>
        <w:t>.</w:t>
      </w:r>
    </w:p>
    <w:p w:rsidR="00134810" w:rsidRDefault="00134810" w:rsidP="00134810">
      <w:pPr>
        <w:pStyle w:val="Body"/>
        <w:numPr>
          <w:ilvl w:val="0"/>
          <w:numId w:val="2"/>
        </w:numPr>
        <w:ind w:hanging="180"/>
        <w:rPr>
          <w:rFonts w:ascii="Times New Roman" w:hAnsi="Times New Roman"/>
          <w:position w:val="-2"/>
        </w:rPr>
      </w:pPr>
      <w:r>
        <w:rPr>
          <w:rFonts w:ascii="Times New Roman" w:hAnsi="Times New Roman"/>
        </w:rPr>
        <w:t>D’s make special appearance to quash service (claiming no PJ) and contends that Delaware’s sequestration statute violates the 14th amendment.  By freezing D’s ability to sell the property and it is an intrusion on the D’s property rights because there was no notice that property had been attached and there was no opportunity for D to respond to notice through an adequate hearing to find whether attaching property was appropriate.</w:t>
      </w:r>
      <w:r w:rsidR="00F52F53">
        <w:rPr>
          <w:rFonts w:ascii="Times New Roman" w:hAnsi="Times New Roman"/>
        </w:rPr>
        <w:t xml:space="preserve"> Court does not address this issue – it addresses only the PJ issue.</w:t>
      </w:r>
    </w:p>
    <w:p w:rsidR="00134810" w:rsidRDefault="00134810" w:rsidP="00134810">
      <w:pPr>
        <w:pStyle w:val="Body"/>
        <w:numPr>
          <w:ilvl w:val="0"/>
          <w:numId w:val="2"/>
        </w:numPr>
        <w:ind w:hanging="180"/>
        <w:rPr>
          <w:rFonts w:ascii="Times New Roman" w:hAnsi="Times New Roman"/>
          <w:position w:val="-2"/>
        </w:rPr>
      </w:pPr>
      <w:r>
        <w:rPr>
          <w:rFonts w:ascii="Times New Roman" w:hAnsi="Times New Roman"/>
        </w:rPr>
        <w:t xml:space="preserve">This is a </w:t>
      </w:r>
      <w:r>
        <w:rPr>
          <w:rFonts w:ascii="Times New Roman Italic" w:hAnsi="Times New Roman Italic"/>
        </w:rPr>
        <w:t>quasi in rem</w:t>
      </w:r>
      <w:r>
        <w:rPr>
          <w:rFonts w:ascii="Times New Roman" w:hAnsi="Times New Roman"/>
        </w:rPr>
        <w:t xml:space="preserve"> action because the source of P</w:t>
      </w:r>
      <w:r w:rsidR="00F52F53">
        <w:rPr>
          <w:rFonts w:ascii="Times New Roman" w:hAnsi="Times New Roman"/>
        </w:rPr>
        <w:t xml:space="preserve">J is property and </w:t>
      </w:r>
      <w:proofErr w:type="spellStart"/>
      <w:r w:rsidR="00F52F53">
        <w:rPr>
          <w:rFonts w:ascii="Times New Roman" w:hAnsi="Times New Roman"/>
        </w:rPr>
        <w:t>yhe</w:t>
      </w:r>
      <w:proofErr w:type="spellEnd"/>
      <w:r w:rsidR="00F52F53">
        <w:rPr>
          <w:rFonts w:ascii="Times New Roman" w:hAnsi="Times New Roman"/>
        </w:rPr>
        <w:t xml:space="preserve"> cause of action is unrelated to the property.</w:t>
      </w:r>
    </w:p>
    <w:p w:rsidR="00134810" w:rsidRDefault="00134810" w:rsidP="00134810">
      <w:pPr>
        <w:pStyle w:val="Body"/>
        <w:numPr>
          <w:ilvl w:val="1"/>
          <w:numId w:val="2"/>
        </w:numPr>
        <w:tabs>
          <w:tab w:val="clear" w:pos="180"/>
          <w:tab w:val="num" w:pos="540"/>
        </w:tabs>
        <w:ind w:left="540" w:hanging="180"/>
        <w:rPr>
          <w:rFonts w:ascii="Times New Roman" w:hAnsi="Times New Roman"/>
          <w:position w:val="-2"/>
        </w:rPr>
      </w:pPr>
      <w:r>
        <w:rPr>
          <w:rFonts w:ascii="Times New Roman" w:hAnsi="Times New Roman"/>
        </w:rPr>
        <w:t xml:space="preserve">Under Delaware law, D must appear </w:t>
      </w:r>
      <w:r>
        <w:rPr>
          <w:rFonts w:ascii="Times New Roman Italic" w:hAnsi="Times New Roman Italic"/>
        </w:rPr>
        <w:t xml:space="preserve">in </w:t>
      </w:r>
      <w:proofErr w:type="spellStart"/>
      <w:r>
        <w:rPr>
          <w:rFonts w:ascii="Times New Roman Italic" w:hAnsi="Times New Roman Italic"/>
        </w:rPr>
        <w:t>personam</w:t>
      </w:r>
      <w:proofErr w:type="spellEnd"/>
      <w:r>
        <w:rPr>
          <w:rFonts w:ascii="Times New Roman" w:hAnsi="Times New Roman"/>
        </w:rPr>
        <w:t xml:space="preserve"> or give up their shares in the corp. which Delaware attached</w:t>
      </w:r>
    </w:p>
    <w:p w:rsidR="00134810" w:rsidRDefault="00134810" w:rsidP="00134810">
      <w:pPr>
        <w:pStyle w:val="Body"/>
        <w:numPr>
          <w:ilvl w:val="2"/>
          <w:numId w:val="2"/>
        </w:numPr>
        <w:tabs>
          <w:tab w:val="clear" w:pos="180"/>
          <w:tab w:val="num" w:pos="900"/>
        </w:tabs>
        <w:ind w:left="900" w:hanging="180"/>
        <w:rPr>
          <w:rFonts w:ascii="Times New Roman" w:hAnsi="Times New Roman"/>
          <w:position w:val="-2"/>
        </w:rPr>
      </w:pPr>
      <w:r>
        <w:rPr>
          <w:rFonts w:ascii="Times New Roman" w:hAnsi="Times New Roman"/>
        </w:rPr>
        <w:t>Delaware did not allow D to make a limited appearance</w:t>
      </w:r>
    </w:p>
    <w:p w:rsidR="00134810" w:rsidRDefault="00134810" w:rsidP="00134810">
      <w:pPr>
        <w:pStyle w:val="Body"/>
        <w:rPr>
          <w:rFonts w:ascii="Times New Roman" w:hAnsi="Times New Roman"/>
        </w:rPr>
      </w:pPr>
    </w:p>
    <w:p w:rsidR="00134810" w:rsidRDefault="00134810" w:rsidP="00134810">
      <w:pPr>
        <w:pStyle w:val="Body"/>
        <w:rPr>
          <w:rFonts w:ascii="Times New Roman" w:hAnsi="Times New Roman"/>
        </w:rPr>
      </w:pPr>
      <w:r>
        <w:rPr>
          <w:rFonts w:ascii="Times New Roman" w:hAnsi="Times New Roman"/>
        </w:rPr>
        <w:t xml:space="preserve">Court holds that this form of </w:t>
      </w:r>
      <w:r>
        <w:rPr>
          <w:rFonts w:ascii="Times New Roman Italic" w:hAnsi="Times New Roman Italic"/>
        </w:rPr>
        <w:t xml:space="preserve">quasi in rem </w:t>
      </w:r>
      <w:r>
        <w:rPr>
          <w:rFonts w:ascii="Times New Roman" w:hAnsi="Times New Roman"/>
        </w:rPr>
        <w:t>action is no longer permissible - all forms of personal jurisdiction need to meet the International Shoe standards</w:t>
      </w:r>
    </w:p>
    <w:p w:rsidR="00134810" w:rsidRDefault="00134810" w:rsidP="00134810">
      <w:pPr>
        <w:pStyle w:val="Body"/>
        <w:rPr>
          <w:rFonts w:ascii="Times New Roman" w:hAnsi="Times New Roman"/>
        </w:rPr>
      </w:pPr>
    </w:p>
    <w:p w:rsidR="00134810" w:rsidRDefault="00134810" w:rsidP="00134810">
      <w:pPr>
        <w:pStyle w:val="Body"/>
        <w:numPr>
          <w:ilvl w:val="1"/>
          <w:numId w:val="2"/>
        </w:numPr>
        <w:tabs>
          <w:tab w:val="clear" w:pos="180"/>
          <w:tab w:val="num" w:pos="540"/>
        </w:tabs>
        <w:ind w:left="540" w:hanging="180"/>
        <w:rPr>
          <w:rFonts w:ascii="Times New Roman" w:hAnsi="Times New Roman"/>
          <w:position w:val="-2"/>
        </w:rPr>
      </w:pPr>
      <w:r>
        <w:rPr>
          <w:rFonts w:ascii="Times New Roman" w:hAnsi="Times New Roman"/>
        </w:rPr>
        <w:t xml:space="preserve">Supreme Court holds that P should go to the state where it has </w:t>
      </w:r>
      <w:r>
        <w:rPr>
          <w:rFonts w:ascii="Times New Roman Italic" w:hAnsi="Times New Roman Italic"/>
        </w:rPr>
        <w:t xml:space="preserve">in </w:t>
      </w:r>
      <w:proofErr w:type="spellStart"/>
      <w:r>
        <w:rPr>
          <w:rFonts w:ascii="Times New Roman Italic" w:hAnsi="Times New Roman Italic"/>
        </w:rPr>
        <w:t>personam</w:t>
      </w:r>
      <w:proofErr w:type="spellEnd"/>
      <w:r>
        <w:rPr>
          <w:rFonts w:ascii="Times New Roman" w:hAnsi="Times New Roman"/>
        </w:rPr>
        <w:t xml:space="preserve"> jurisdiction over D, then go to state in which D’s property is located and sue </w:t>
      </w:r>
      <w:r w:rsidR="00F52F53">
        <w:rPr>
          <w:rFonts w:ascii="Times New Roman" w:hAnsi="Times New Roman"/>
        </w:rPr>
        <w:t>on the judg</w:t>
      </w:r>
      <w:r>
        <w:rPr>
          <w:rFonts w:ascii="Times New Roman" w:hAnsi="Times New Roman"/>
        </w:rPr>
        <w:t>ment</w:t>
      </w:r>
    </w:p>
    <w:p w:rsidR="00134810" w:rsidRDefault="00134810" w:rsidP="00134810">
      <w:pPr>
        <w:pStyle w:val="Body"/>
        <w:numPr>
          <w:ilvl w:val="1"/>
          <w:numId w:val="2"/>
        </w:numPr>
        <w:tabs>
          <w:tab w:val="clear" w:pos="180"/>
          <w:tab w:val="num" w:pos="540"/>
        </w:tabs>
        <w:ind w:left="540" w:hanging="180"/>
        <w:rPr>
          <w:rFonts w:ascii="Times New Roman" w:hAnsi="Times New Roman"/>
          <w:position w:val="-2"/>
        </w:rPr>
      </w:pPr>
      <w:r>
        <w:rPr>
          <w:rFonts w:ascii="Times New Roman" w:hAnsi="Times New Roman"/>
        </w:rPr>
        <w:t>Problems with this case being brought in Delaware:</w:t>
      </w:r>
    </w:p>
    <w:p w:rsidR="00134810" w:rsidRDefault="00134810" w:rsidP="00134810">
      <w:pPr>
        <w:pStyle w:val="Body"/>
        <w:numPr>
          <w:ilvl w:val="2"/>
          <w:numId w:val="2"/>
        </w:numPr>
        <w:tabs>
          <w:tab w:val="clear" w:pos="180"/>
          <w:tab w:val="num" w:pos="900"/>
        </w:tabs>
        <w:ind w:left="900" w:hanging="180"/>
        <w:rPr>
          <w:rFonts w:ascii="Times New Roman" w:hAnsi="Times New Roman"/>
          <w:position w:val="-2"/>
        </w:rPr>
      </w:pPr>
      <w:r>
        <w:rPr>
          <w:rFonts w:ascii="Times New Roman" w:hAnsi="Times New Roman"/>
        </w:rPr>
        <w:t>Property is intangible and does not seem to really be located in Delaware so D probably did not reasonably know its property was located in Delaware</w:t>
      </w:r>
    </w:p>
    <w:p w:rsidR="00134810" w:rsidRDefault="00134810" w:rsidP="00134810">
      <w:pPr>
        <w:pStyle w:val="Body"/>
        <w:numPr>
          <w:ilvl w:val="2"/>
          <w:numId w:val="2"/>
        </w:numPr>
        <w:tabs>
          <w:tab w:val="clear" w:pos="180"/>
          <w:tab w:val="num" w:pos="900"/>
        </w:tabs>
        <w:ind w:left="900" w:hanging="180"/>
        <w:rPr>
          <w:rFonts w:ascii="Times New Roman" w:hAnsi="Times New Roman"/>
          <w:position w:val="-2"/>
        </w:rPr>
      </w:pPr>
      <w:r>
        <w:rPr>
          <w:rFonts w:ascii="Times New Roman" w:hAnsi="Times New Roman"/>
        </w:rPr>
        <w:lastRenderedPageBreak/>
        <w:t>Delaware did not allow D to make a limited appearance</w:t>
      </w:r>
    </w:p>
    <w:p w:rsidR="00134810" w:rsidRDefault="00134810" w:rsidP="00134810">
      <w:pPr>
        <w:pStyle w:val="Body"/>
        <w:rPr>
          <w:rFonts w:ascii="Times New Roman" w:hAnsi="Times New Roman"/>
        </w:rPr>
      </w:pPr>
    </w:p>
    <w:p w:rsidR="00134810" w:rsidRDefault="00134810" w:rsidP="00134810">
      <w:pPr>
        <w:pStyle w:val="Body"/>
        <w:numPr>
          <w:ilvl w:val="0"/>
          <w:numId w:val="2"/>
        </w:numPr>
        <w:ind w:hanging="180"/>
        <w:rPr>
          <w:rFonts w:ascii="Times New Roman" w:hAnsi="Times New Roman"/>
          <w:position w:val="-2"/>
        </w:rPr>
      </w:pPr>
      <w:r>
        <w:rPr>
          <w:rFonts w:ascii="Times New Roman Italic" w:hAnsi="Times New Roman Italic"/>
        </w:rPr>
        <w:t xml:space="preserve">Powell - </w:t>
      </w:r>
      <w:r>
        <w:rPr>
          <w:rFonts w:ascii="Times New Roman" w:hAnsi="Times New Roman"/>
        </w:rPr>
        <w:t>In the case of real property, quasi in rem jurisdiction is still acceptable</w:t>
      </w:r>
    </w:p>
    <w:p w:rsidR="00134810" w:rsidRDefault="00134810" w:rsidP="00134810">
      <w:pPr>
        <w:pStyle w:val="Body"/>
        <w:numPr>
          <w:ilvl w:val="0"/>
          <w:numId w:val="2"/>
        </w:numPr>
        <w:ind w:hanging="180"/>
        <w:rPr>
          <w:rFonts w:ascii="Times New Roman" w:hAnsi="Times New Roman"/>
          <w:position w:val="-2"/>
        </w:rPr>
      </w:pPr>
      <w:r>
        <w:rPr>
          <w:rFonts w:ascii="Times New Roman" w:hAnsi="Times New Roman"/>
        </w:rPr>
        <w:t>Opening a bank account or buying property in a state makes it foreseeable that one could be subject to PJ in that state for suits up to the value of the property in the forum state</w:t>
      </w:r>
    </w:p>
    <w:p w:rsidR="00134810" w:rsidRDefault="00134810" w:rsidP="00134810">
      <w:pPr>
        <w:pStyle w:val="Body"/>
        <w:rPr>
          <w:rFonts w:ascii="Times New Roman" w:hAnsi="Times New Roman"/>
        </w:rPr>
      </w:pPr>
    </w:p>
    <w:p w:rsidR="00134810" w:rsidRDefault="00134810" w:rsidP="00134810">
      <w:pPr>
        <w:pStyle w:val="Body"/>
        <w:rPr>
          <w:rFonts w:ascii="Times New Roman" w:hAnsi="Times New Roman"/>
        </w:rPr>
      </w:pPr>
      <w:r>
        <w:rPr>
          <w:rFonts w:ascii="Times New Roman" w:hAnsi="Times New Roman"/>
        </w:rPr>
        <w:t xml:space="preserve">Is this a </w:t>
      </w:r>
      <w:r>
        <w:rPr>
          <w:rFonts w:ascii="Times New Roman Italic" w:hAnsi="Times New Roman Italic"/>
        </w:rPr>
        <w:t xml:space="preserve">specific jurisdiction </w:t>
      </w:r>
      <w:r>
        <w:rPr>
          <w:rFonts w:ascii="Times New Roman" w:hAnsi="Times New Roman"/>
        </w:rPr>
        <w:t>case</w:t>
      </w:r>
      <w:r w:rsidR="00F52F53">
        <w:rPr>
          <w:rFonts w:ascii="Times New Roman" w:hAnsi="Times New Roman"/>
        </w:rPr>
        <w:t xml:space="preserve"> (setting aside the shares)</w:t>
      </w:r>
      <w:r>
        <w:rPr>
          <w:rFonts w:ascii="Times New Roman" w:hAnsi="Times New Roman"/>
        </w:rPr>
        <w:t>?</w:t>
      </w:r>
    </w:p>
    <w:p w:rsidR="00134810" w:rsidRDefault="00134810" w:rsidP="00134810">
      <w:pPr>
        <w:pStyle w:val="Body"/>
        <w:rPr>
          <w:rFonts w:ascii="Times New Roman" w:hAnsi="Times New Roman"/>
        </w:rPr>
      </w:pPr>
      <w:r>
        <w:rPr>
          <w:rFonts w:ascii="Times New Roman" w:hAnsi="Times New Roman"/>
        </w:rPr>
        <w:t>The cause of action concerns the very contacts that the officers and directors have in Delaware because the officers and directors reached out to the state of Delaware</w:t>
      </w:r>
      <w:r w:rsidR="00F52F53">
        <w:rPr>
          <w:rFonts w:ascii="Times New Roman" w:hAnsi="Times New Roman"/>
        </w:rPr>
        <w:t xml:space="preserve"> by becoming officers of a Del corporation, and thereby</w:t>
      </w:r>
      <w:r>
        <w:rPr>
          <w:rFonts w:ascii="Times New Roman" w:hAnsi="Times New Roman"/>
        </w:rPr>
        <w:t xml:space="preserve"> receive</w:t>
      </w:r>
      <w:r w:rsidR="00F52F53">
        <w:rPr>
          <w:rFonts w:ascii="Times New Roman" w:hAnsi="Times New Roman"/>
        </w:rPr>
        <w:t>d</w:t>
      </w:r>
      <w:r>
        <w:rPr>
          <w:rFonts w:ascii="Times New Roman" w:hAnsi="Times New Roman"/>
        </w:rPr>
        <w:t xml:space="preserve"> the benefits of Delaware law.  The </w:t>
      </w:r>
      <w:r w:rsidR="00F52F53">
        <w:rPr>
          <w:rFonts w:ascii="Times New Roman" w:hAnsi="Times New Roman"/>
        </w:rPr>
        <w:t>corporation</w:t>
      </w:r>
      <w:r>
        <w:rPr>
          <w:rFonts w:ascii="Times New Roman" w:hAnsi="Times New Roman"/>
        </w:rPr>
        <w:t xml:space="preserve"> itself exists because of Delaware law, so essentially Delaware gave them their job and the </w:t>
      </w:r>
      <w:r w:rsidR="00F52F53">
        <w:rPr>
          <w:rFonts w:ascii="Times New Roman" w:hAnsi="Times New Roman"/>
        </w:rPr>
        <w:t>corporation</w:t>
      </w:r>
      <w:r>
        <w:rPr>
          <w:rFonts w:ascii="Times New Roman" w:hAnsi="Times New Roman"/>
        </w:rPr>
        <w:t xml:space="preserve"> is constantly being protected by Delaware law and Delaware law protects the officers and directors.  The cause of action directly concerns the benefits the officers and directors receive from Delaware.  </w:t>
      </w:r>
    </w:p>
    <w:p w:rsidR="00134810" w:rsidRDefault="00134810" w:rsidP="00134810">
      <w:pPr>
        <w:pStyle w:val="Body"/>
        <w:numPr>
          <w:ilvl w:val="1"/>
          <w:numId w:val="2"/>
        </w:numPr>
        <w:tabs>
          <w:tab w:val="clear" w:pos="180"/>
          <w:tab w:val="num" w:pos="540"/>
        </w:tabs>
        <w:ind w:left="540" w:hanging="180"/>
        <w:rPr>
          <w:rFonts w:ascii="Times New Roman" w:hAnsi="Times New Roman"/>
          <w:position w:val="-2"/>
        </w:rPr>
      </w:pPr>
      <w:r>
        <w:rPr>
          <w:rFonts w:ascii="Times New Roman" w:hAnsi="Times New Roman"/>
        </w:rPr>
        <w:t>What is problematic is that there is no physical contacts with Delaware, but that should not matter because of the immense benefits the officers and directors received from Delaware law.</w:t>
      </w:r>
    </w:p>
    <w:p w:rsidR="00134810" w:rsidRDefault="00134810" w:rsidP="00134810">
      <w:pPr>
        <w:pStyle w:val="Body"/>
        <w:rPr>
          <w:rFonts w:ascii="Times New Roman" w:hAnsi="Times New Roman"/>
        </w:rPr>
      </w:pPr>
    </w:p>
    <w:p w:rsidR="00134810" w:rsidRDefault="00134810" w:rsidP="00134810">
      <w:pPr>
        <w:pStyle w:val="Body"/>
        <w:rPr>
          <w:rFonts w:ascii="Times New Roman" w:hAnsi="Times New Roman"/>
        </w:rPr>
      </w:pPr>
      <w:r>
        <w:rPr>
          <w:rFonts w:ascii="Times New Roman" w:hAnsi="Times New Roman"/>
        </w:rPr>
        <w:t xml:space="preserve">McGee Factors in </w:t>
      </w:r>
      <w:r>
        <w:rPr>
          <w:rFonts w:ascii="Times New Roman Italic" w:hAnsi="Times New Roman Italic"/>
        </w:rPr>
        <w:t>Schafer</w:t>
      </w:r>
      <w:r>
        <w:rPr>
          <w:rFonts w:ascii="Times New Roman" w:hAnsi="Times New Roman"/>
        </w:rPr>
        <w:t>:</w:t>
      </w:r>
    </w:p>
    <w:p w:rsidR="00134810" w:rsidRDefault="00134810" w:rsidP="00134810">
      <w:pPr>
        <w:pStyle w:val="Body"/>
        <w:rPr>
          <w:rFonts w:ascii="Times New Roman" w:hAnsi="Times New Roman"/>
        </w:rPr>
      </w:pPr>
      <w:r>
        <w:rPr>
          <w:rFonts w:ascii="Times New Roman" w:hAnsi="Times New Roman"/>
        </w:rPr>
        <w:t>Seem to be strong in favor of Delaware</w:t>
      </w:r>
    </w:p>
    <w:p w:rsidR="00134810" w:rsidRDefault="00134810" w:rsidP="00134810">
      <w:pPr>
        <w:pStyle w:val="Body"/>
        <w:numPr>
          <w:ilvl w:val="0"/>
          <w:numId w:val="2"/>
        </w:numPr>
        <w:ind w:hanging="180"/>
        <w:rPr>
          <w:rFonts w:ascii="Times New Roman" w:hAnsi="Times New Roman"/>
          <w:position w:val="-2"/>
        </w:rPr>
      </w:pPr>
      <w:r>
        <w:rPr>
          <w:rFonts w:ascii="Times New Roman" w:hAnsi="Times New Roman"/>
        </w:rPr>
        <w:t>The violation of the officers fiduciary duty was a violation of Delaware law</w:t>
      </w:r>
    </w:p>
    <w:p w:rsidR="00134810" w:rsidRPr="00F1672F" w:rsidRDefault="00134810" w:rsidP="00134810">
      <w:pPr>
        <w:pStyle w:val="Body"/>
        <w:numPr>
          <w:ilvl w:val="0"/>
          <w:numId w:val="2"/>
        </w:numPr>
        <w:ind w:hanging="180"/>
        <w:rPr>
          <w:rFonts w:ascii="Times New Roman" w:hAnsi="Times New Roman"/>
          <w:position w:val="-2"/>
        </w:rPr>
      </w:pPr>
      <w:r>
        <w:rPr>
          <w:rFonts w:ascii="Times New Roman" w:hAnsi="Times New Roman"/>
        </w:rPr>
        <w:t>Delaware has a strong interest because they incorporated the company</w:t>
      </w:r>
    </w:p>
    <w:p w:rsidR="00F1672F" w:rsidRPr="00F52F53" w:rsidRDefault="003F0878" w:rsidP="00134810">
      <w:pPr>
        <w:pStyle w:val="Body"/>
        <w:numPr>
          <w:ilvl w:val="0"/>
          <w:numId w:val="2"/>
        </w:numPr>
        <w:ind w:hanging="180"/>
        <w:rPr>
          <w:rFonts w:ascii="Times New Roman" w:hAnsi="Times New Roman"/>
          <w:position w:val="-2"/>
        </w:rPr>
      </w:pPr>
      <w:r>
        <w:rPr>
          <w:rFonts w:ascii="Times New Roman" w:hAnsi="Times New Roman"/>
        </w:rPr>
        <w:t>W</w:t>
      </w:r>
      <w:r w:rsidR="00F1672F">
        <w:rPr>
          <w:rFonts w:ascii="Times New Roman" w:hAnsi="Times New Roman"/>
        </w:rPr>
        <w:t>itnesses not located in Del.</w:t>
      </w:r>
      <w:r>
        <w:rPr>
          <w:rFonts w:ascii="Times New Roman" w:hAnsi="Times New Roman"/>
        </w:rPr>
        <w:t xml:space="preserve"> however</w:t>
      </w:r>
      <w:bookmarkStart w:id="0" w:name="_GoBack"/>
      <w:bookmarkEnd w:id="0"/>
    </w:p>
    <w:p w:rsidR="00F52F53" w:rsidRPr="00F52F53" w:rsidRDefault="00F52F53" w:rsidP="00F52F53">
      <w:pPr>
        <w:pStyle w:val="Body"/>
        <w:numPr>
          <w:ilvl w:val="0"/>
          <w:numId w:val="2"/>
        </w:numPr>
        <w:ind w:hanging="180"/>
        <w:rPr>
          <w:rFonts w:ascii="Times New Roman" w:hAnsi="Times New Roman"/>
          <w:position w:val="-2"/>
        </w:rPr>
      </w:pPr>
      <w:r>
        <w:rPr>
          <w:rFonts w:ascii="Times New Roman" w:hAnsi="Times New Roman"/>
        </w:rPr>
        <w:t>Need one place where all officers and directors of the company can be sued together</w:t>
      </w:r>
    </w:p>
    <w:p w:rsidR="00134810" w:rsidRDefault="00134810" w:rsidP="00134810">
      <w:pPr>
        <w:pStyle w:val="Body"/>
        <w:numPr>
          <w:ilvl w:val="1"/>
          <w:numId w:val="2"/>
        </w:numPr>
        <w:tabs>
          <w:tab w:val="clear" w:pos="180"/>
          <w:tab w:val="num" w:pos="540"/>
        </w:tabs>
        <w:ind w:left="540" w:hanging="180"/>
        <w:rPr>
          <w:rFonts w:ascii="Times New Roman Italic" w:hAnsi="Times New Roman Italic"/>
          <w:position w:val="-2"/>
        </w:rPr>
      </w:pPr>
      <w:r>
        <w:rPr>
          <w:rFonts w:ascii="Times New Roman" w:hAnsi="Times New Roman"/>
        </w:rPr>
        <w:t xml:space="preserve">However, the Supreme Court claims the Delaware legislature failed to create a statute to assert its state interest in these cases; but it seems like the statute in the case was intended for the officers and directors of Delaware corps. </w:t>
      </w:r>
    </w:p>
    <w:p w:rsidR="007E4B5C" w:rsidRDefault="007E4B5C"/>
    <w:sectPr w:rsidR="007E4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imes New Roman Bold">
    <w:panose1 w:val="02020803070505020304"/>
    <w:charset w:val="00"/>
    <w:family w:val="roman"/>
    <w:pitch w:val="default"/>
  </w:font>
  <w:font w:name="Times New Roman Italic">
    <w:panose1 w:val="020205030504050903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0"/>
      <w:numFmt w:val="upperLetter"/>
      <w:lvlText w:val="%1."/>
      <w:lvlJc w:val="left"/>
      <w:pPr>
        <w:tabs>
          <w:tab w:val="num" w:pos="213"/>
        </w:tabs>
        <w:ind w:left="213" w:firstLine="0"/>
      </w:pPr>
      <w:rPr>
        <w:position w:val="0"/>
      </w:rPr>
    </w:lvl>
    <w:lvl w:ilvl="1">
      <w:start w:val="1"/>
      <w:numFmt w:val="upperLetter"/>
      <w:lvlText w:val="%2."/>
      <w:lvlJc w:val="left"/>
      <w:pPr>
        <w:tabs>
          <w:tab w:val="num" w:pos="213"/>
        </w:tabs>
        <w:ind w:left="213" w:firstLine="720"/>
      </w:pPr>
      <w:rPr>
        <w:position w:val="0"/>
      </w:rPr>
    </w:lvl>
    <w:lvl w:ilvl="2">
      <w:start w:val="1"/>
      <w:numFmt w:val="upperLetter"/>
      <w:lvlText w:val="%3."/>
      <w:lvlJc w:val="left"/>
      <w:pPr>
        <w:tabs>
          <w:tab w:val="num" w:pos="213"/>
        </w:tabs>
        <w:ind w:left="213" w:firstLine="1440"/>
      </w:pPr>
      <w:rPr>
        <w:position w:val="0"/>
      </w:rPr>
    </w:lvl>
    <w:lvl w:ilvl="3">
      <w:start w:val="1"/>
      <w:numFmt w:val="upperLetter"/>
      <w:lvlText w:val="%4."/>
      <w:lvlJc w:val="left"/>
      <w:pPr>
        <w:tabs>
          <w:tab w:val="num" w:pos="213"/>
        </w:tabs>
        <w:ind w:left="213" w:firstLine="2160"/>
      </w:pPr>
      <w:rPr>
        <w:position w:val="0"/>
      </w:rPr>
    </w:lvl>
    <w:lvl w:ilvl="4">
      <w:start w:val="1"/>
      <w:numFmt w:val="upperLetter"/>
      <w:lvlText w:val="%5."/>
      <w:lvlJc w:val="left"/>
      <w:pPr>
        <w:tabs>
          <w:tab w:val="num" w:pos="213"/>
        </w:tabs>
        <w:ind w:left="213" w:firstLine="2880"/>
      </w:pPr>
      <w:rPr>
        <w:position w:val="0"/>
      </w:rPr>
    </w:lvl>
    <w:lvl w:ilvl="5">
      <w:start w:val="1"/>
      <w:numFmt w:val="upperLetter"/>
      <w:lvlText w:val="%6."/>
      <w:lvlJc w:val="left"/>
      <w:pPr>
        <w:tabs>
          <w:tab w:val="num" w:pos="213"/>
        </w:tabs>
        <w:ind w:left="213" w:firstLine="3600"/>
      </w:pPr>
      <w:rPr>
        <w:position w:val="0"/>
      </w:rPr>
    </w:lvl>
    <w:lvl w:ilvl="6">
      <w:start w:val="1"/>
      <w:numFmt w:val="upperLetter"/>
      <w:lvlText w:val="%7."/>
      <w:lvlJc w:val="left"/>
      <w:pPr>
        <w:tabs>
          <w:tab w:val="num" w:pos="213"/>
        </w:tabs>
        <w:ind w:left="213" w:firstLine="4320"/>
      </w:pPr>
      <w:rPr>
        <w:position w:val="0"/>
      </w:rPr>
    </w:lvl>
    <w:lvl w:ilvl="7">
      <w:start w:val="1"/>
      <w:numFmt w:val="upperLetter"/>
      <w:lvlText w:val="%8."/>
      <w:lvlJc w:val="left"/>
      <w:pPr>
        <w:tabs>
          <w:tab w:val="num" w:pos="213"/>
        </w:tabs>
        <w:ind w:left="213" w:firstLine="5040"/>
      </w:pPr>
      <w:rPr>
        <w:position w:val="0"/>
      </w:rPr>
    </w:lvl>
    <w:lvl w:ilvl="8">
      <w:start w:val="1"/>
      <w:numFmt w:val="upperLetter"/>
      <w:lvlText w:val="%9."/>
      <w:lvlJc w:val="left"/>
      <w:pPr>
        <w:tabs>
          <w:tab w:val="num" w:pos="213"/>
        </w:tabs>
        <w:ind w:left="213" w:firstLine="5760"/>
      </w:pPr>
      <w:rPr>
        <w:position w:val="0"/>
      </w:rPr>
    </w:lvl>
  </w:abstractNum>
  <w:abstractNum w:abstractNumId="1">
    <w:nsid w:val="00000003"/>
    <w:multiLevelType w:val="multilevel"/>
    <w:tmpl w:val="894EE875"/>
    <w:lvl w:ilvl="0">
      <w:numFmt w:val="bullet"/>
      <w:lvlText w:val="•"/>
      <w:lvlJc w:val="left"/>
      <w:pPr>
        <w:tabs>
          <w:tab w:val="num" w:pos="180"/>
        </w:tabs>
        <w:ind w:left="180" w:firstLine="0"/>
      </w:pPr>
      <w:rPr>
        <w:position w:val="-2"/>
      </w:rPr>
    </w:lvl>
    <w:lvl w:ilvl="1">
      <w:start w:va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num w:numId="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10"/>
    <w:rsid w:val="00071415"/>
    <w:rsid w:val="00134810"/>
    <w:rsid w:val="003F0878"/>
    <w:rsid w:val="00767B3B"/>
    <w:rsid w:val="007E4B5C"/>
    <w:rsid w:val="00F1672F"/>
    <w:rsid w:val="00F5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F67A2-CCF5-4D9D-BF8C-4FA5BE9D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34810"/>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1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5</cp:revision>
  <dcterms:created xsi:type="dcterms:W3CDTF">2013-10-12T13:36:00Z</dcterms:created>
  <dcterms:modified xsi:type="dcterms:W3CDTF">2013-10-12T13:46:00Z</dcterms:modified>
</cp:coreProperties>
</file>